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val="en-US" w:eastAsia="zh-CN"/>
        </w:rPr>
        <w:t>审计局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审计局</w:t>
      </w: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组织领导全县的审计工作，监督检查国家财经法规的贯彻落实，查处与财政收支、财务收支有关的违法违纪行为，维护财政经济秩序，促进廉政建设，保证国民经济和社会健康发展。</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（一）对县本级各部门(含直属单位)和下级政府预算的执行情况和决算以及其他财政收支情况，进行审计监督。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（二）对县本级预算执行情况和其他财政收支情况进行审计监督，向县政府和市审计局提出审计结果报告；受县政府委托向县人大常委会提出本级预算执行情况和其他财政收支的审计工作报告。</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（三）对县属国有金融机构的资产、负债、损益，进行审计监督。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（四）对县属的事业组织和使用财政资金的其他事业组织的财务收支，进行审计监督。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（五）对县属国有企业的资产、负债、损益，进行审计监督。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（六）根据国家有关规定，对国有资本占控股地位或者主导地位的县属企业、金融机构进行审计监督。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（七）对县政府投资和以市政府投资为主的建设项目的预算执行情况和决算，进行审计监督。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（八）对县政府部门管理的和其他单位受县政府委托管理的社会保障基金、社会捐赠资金以及其他有关基金、资金的财务收支，进行审计监督。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九）按照国家有关规定，根据干部监督、管理部门的委托，对县辖镇（乡）党政机关，县直机关及事业单位，县属国有及国有控股企业和依法属于县审计局审计监督对象的其他单位的主要负责人任期经济责任履行情况，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（十）除审计法规定的审计事项外，对其他法律、行政法规规定应当由县审计局进行审计的事项，依照审计法和有关法律、行政法规的规定进行审计监督。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（十一）对全县内部审计工作进行业务指导和监督。</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（十二）按照国家有关规定，对社会审计机构审计的单位依法属于县审计局审计监督对象的，县审计局有权对该社会审计机构出具的相关审计报告进行核查。</w:t>
      </w:r>
    </w:p>
    <w:p>
      <w:pPr>
        <w:spacing w:line="584"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（十三）贯彻落实国家审计法律、法规和规章，研究拟定地方性审计规章制度，参与制定地方财经法规和规章并监督执行。</w:t>
      </w: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大厂回族自治县审计局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bl>
    <w:p>
      <w:pPr>
        <w:spacing w:line="584" w:lineRule="exact"/>
        <w:ind w:firstLine="640" w:firstLineChars="200"/>
        <w:rPr>
          <w:rFonts w:ascii="Times New Roman" w:hAnsi="Times New Roman" w:eastAsia="黑体" w:cs="Times New Roman"/>
          <w:sz w:val="32"/>
          <w:szCs w:val="32"/>
        </w:rPr>
      </w:pPr>
    </w:p>
    <w:p>
      <w:pPr>
        <w:keepNext w:val="0"/>
        <w:keepLines w:val="0"/>
        <w:pageBreakBefore w:val="0"/>
        <w:widowControl w:val="0"/>
        <w:kinsoku/>
        <w:wordWrap/>
        <w:overflowPunct/>
        <w:topLinePunct w:val="0"/>
        <w:bidi w:val="0"/>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keepNext w:val="0"/>
        <w:keepLines w:val="0"/>
        <w:pageBreakBefore w:val="0"/>
        <w:widowControl w:val="0"/>
        <w:kinsoku/>
        <w:wordWrap/>
        <w:overflowPunct/>
        <w:topLinePunct w:val="0"/>
        <w:bidi w:val="0"/>
        <w:snapToGrid/>
        <w:spacing w:line="584" w:lineRule="exact"/>
        <w:ind w:firstLine="640" w:firstLineChars="200"/>
        <w:textAlignment w:val="auto"/>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审计局机关</w:t>
      </w:r>
      <w:r>
        <w:rPr>
          <w:rFonts w:ascii="仿宋" w:hAnsi="仿宋" w:eastAsia="仿宋" w:cs="Times New Roman"/>
          <w:sz w:val="32"/>
          <w:szCs w:val="32"/>
        </w:rPr>
        <w:t>的收支包含在部门预算中。</w:t>
      </w:r>
    </w:p>
    <w:p>
      <w:pPr>
        <w:keepNext w:val="0"/>
        <w:keepLines w:val="0"/>
        <w:pageBreakBefore w:val="0"/>
        <w:widowControl w:val="0"/>
        <w:kinsoku/>
        <w:wordWrap/>
        <w:overflowPunct/>
        <w:topLinePunct w:val="0"/>
        <w:bidi w:val="0"/>
        <w:snapToGrid/>
        <w:spacing w:line="584" w:lineRule="exact"/>
        <w:ind w:firstLine="640"/>
        <w:textAlignment w:val="auto"/>
        <w:rPr>
          <w:rFonts w:ascii="仿宋" w:hAnsi="仿宋" w:eastAsia="仿宋" w:cs="Times New Roman"/>
          <w:b/>
          <w:sz w:val="32"/>
          <w:szCs w:val="32"/>
        </w:rPr>
      </w:pPr>
      <w:r>
        <w:rPr>
          <w:rFonts w:ascii="仿宋" w:hAnsi="仿宋" w:eastAsia="仿宋" w:cs="Times New Roman"/>
          <w:b/>
          <w:sz w:val="32"/>
          <w:szCs w:val="32"/>
        </w:rPr>
        <w:t>1、收入说明</w:t>
      </w:r>
    </w:p>
    <w:p>
      <w:pPr>
        <w:keepNext w:val="0"/>
        <w:keepLines w:val="0"/>
        <w:pageBreakBefore w:val="0"/>
        <w:widowControl w:val="0"/>
        <w:kinsoku/>
        <w:wordWrap/>
        <w:overflowPunct/>
        <w:topLinePunct w:val="0"/>
        <w:bidi w:val="0"/>
        <w:snapToGrid/>
        <w:spacing w:line="584" w:lineRule="exact"/>
        <w:ind w:firstLine="640"/>
        <w:textAlignment w:val="auto"/>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lang w:val="en-US" w:eastAsia="zh-CN"/>
        </w:rPr>
        <w:t>945.65</w:t>
      </w:r>
      <w:r>
        <w:rPr>
          <w:rFonts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943.65</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万元，财政专户核拨收入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万元</w:t>
      </w:r>
      <w:r>
        <w:rPr>
          <w:rFonts w:ascii="仿宋" w:hAnsi="仿宋" w:eastAsia="仿宋" w:cs="Times New Roman"/>
          <w:sz w:val="32"/>
          <w:szCs w:val="32"/>
        </w:rPr>
        <w:t>。</w:t>
      </w:r>
    </w:p>
    <w:p>
      <w:pPr>
        <w:keepNext w:val="0"/>
        <w:keepLines w:val="0"/>
        <w:pageBreakBefore w:val="0"/>
        <w:widowControl w:val="0"/>
        <w:kinsoku/>
        <w:wordWrap/>
        <w:overflowPunct/>
        <w:topLinePunct w:val="0"/>
        <w:bidi w:val="0"/>
        <w:snapToGrid/>
        <w:spacing w:line="584" w:lineRule="exact"/>
        <w:ind w:firstLine="640"/>
        <w:textAlignment w:val="auto"/>
        <w:rPr>
          <w:rFonts w:ascii="仿宋" w:hAnsi="仿宋" w:eastAsia="仿宋" w:cs="Times New Roman"/>
          <w:b/>
          <w:sz w:val="32"/>
          <w:szCs w:val="32"/>
        </w:rPr>
      </w:pPr>
      <w:r>
        <w:rPr>
          <w:rFonts w:ascii="仿宋" w:hAnsi="仿宋" w:eastAsia="仿宋" w:cs="Times New Roman"/>
          <w:b/>
          <w:sz w:val="32"/>
          <w:szCs w:val="32"/>
        </w:rPr>
        <w:t>2、支出说明</w:t>
      </w:r>
    </w:p>
    <w:p>
      <w:pPr>
        <w:keepNext w:val="0"/>
        <w:keepLines w:val="0"/>
        <w:pageBreakBefore w:val="0"/>
        <w:widowControl w:val="0"/>
        <w:kinsoku/>
        <w:wordWrap/>
        <w:overflowPunct/>
        <w:topLinePunct w:val="0"/>
        <w:bidi w:val="0"/>
        <w:snapToGrid/>
        <w:spacing w:line="584" w:lineRule="exact"/>
        <w:ind w:firstLine="640"/>
        <w:textAlignment w:val="auto"/>
        <w:rPr>
          <w:rFonts w:hint="eastAsia" w:ascii="仿宋" w:hAnsi="仿宋" w:eastAsia="仿宋" w:cs="Times New Roman"/>
          <w:sz w:val="32"/>
          <w:szCs w:val="32"/>
          <w:lang w:val="en-US" w:eastAsia="zh-CN"/>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审计局2022</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945.65</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773.98</w:t>
      </w:r>
      <w:r>
        <w:rPr>
          <w:rFonts w:ascii="仿宋" w:hAnsi="仿宋" w:eastAsia="仿宋" w:cs="Times New Roman"/>
          <w:sz w:val="32"/>
          <w:szCs w:val="32"/>
        </w:rPr>
        <w:t>万元，包括人员类项目经费</w:t>
      </w:r>
      <w:r>
        <w:rPr>
          <w:rFonts w:hint="eastAsia" w:ascii="仿宋" w:hAnsi="仿宋" w:eastAsia="仿宋" w:cs="Times New Roman"/>
          <w:sz w:val="32"/>
          <w:szCs w:val="32"/>
          <w:lang w:val="en-US" w:eastAsia="zh-CN"/>
        </w:rPr>
        <w:t>665.55</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lang w:val="en-US" w:eastAsia="zh-CN"/>
        </w:rPr>
        <w:t>108.43</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lang w:val="en-US" w:eastAsia="zh-CN"/>
        </w:rPr>
        <w:t>171.67</w:t>
      </w:r>
      <w:r>
        <w:rPr>
          <w:rFonts w:ascii="仿宋" w:hAnsi="仿宋" w:eastAsia="仿宋" w:cs="Times New Roman"/>
          <w:sz w:val="32"/>
          <w:szCs w:val="32"/>
        </w:rPr>
        <w:t>万元，主要为</w:t>
      </w:r>
      <w:r>
        <w:rPr>
          <w:rFonts w:hint="eastAsia" w:ascii="仿宋" w:hAnsi="仿宋" w:eastAsia="仿宋" w:cs="Times New Roman"/>
          <w:sz w:val="32"/>
          <w:szCs w:val="32"/>
        </w:rPr>
        <w:t>培训费</w:t>
      </w:r>
      <w:r>
        <w:rPr>
          <w:rFonts w:hint="eastAsia" w:ascii="仿宋" w:hAnsi="仿宋" w:eastAsia="仿宋" w:cs="Times New Roman"/>
          <w:sz w:val="32"/>
          <w:szCs w:val="32"/>
          <w:lang w:eastAsia="zh-CN"/>
        </w:rPr>
        <w:t>、</w:t>
      </w:r>
      <w:r>
        <w:rPr>
          <w:rFonts w:hint="eastAsia" w:ascii="仿宋" w:hAnsi="仿宋" w:eastAsia="仿宋" w:cs="Times New Roman"/>
          <w:sz w:val="32"/>
          <w:szCs w:val="32"/>
        </w:rPr>
        <w:t>一级预算单位财务数据采集费</w:t>
      </w:r>
      <w:r>
        <w:rPr>
          <w:rFonts w:hint="eastAsia" w:ascii="仿宋" w:hAnsi="仿宋" w:eastAsia="仿宋" w:cs="Times New Roman"/>
          <w:sz w:val="32"/>
          <w:szCs w:val="32"/>
          <w:lang w:eastAsia="zh-CN"/>
        </w:rPr>
        <w:t>、</w:t>
      </w:r>
      <w:r>
        <w:rPr>
          <w:rFonts w:hint="eastAsia" w:ascii="仿宋" w:hAnsi="仿宋" w:eastAsia="仿宋" w:cs="Times New Roman"/>
          <w:sz w:val="32"/>
          <w:szCs w:val="32"/>
        </w:rPr>
        <w:t>专项审计业务费</w:t>
      </w:r>
      <w:r>
        <w:rPr>
          <w:rFonts w:hint="eastAsia" w:ascii="仿宋" w:hAnsi="仿宋" w:eastAsia="仿宋" w:cs="Times New Roman"/>
          <w:sz w:val="32"/>
          <w:szCs w:val="32"/>
          <w:lang w:eastAsia="zh-CN"/>
        </w:rPr>
        <w:t>、</w:t>
      </w:r>
      <w:r>
        <w:rPr>
          <w:rFonts w:hint="eastAsia" w:ascii="仿宋" w:hAnsi="仿宋" w:eastAsia="仿宋" w:cs="Times New Roman"/>
          <w:sz w:val="32"/>
          <w:szCs w:val="32"/>
        </w:rPr>
        <w:t>审计局档案</w:t>
      </w:r>
      <w:r>
        <w:rPr>
          <w:rFonts w:hint="eastAsia" w:ascii="仿宋" w:hAnsi="仿宋" w:eastAsia="仿宋" w:cs="Times New Roman"/>
          <w:sz w:val="32"/>
          <w:szCs w:val="32"/>
          <w:lang w:val="en-US" w:eastAsia="zh-CN"/>
        </w:rPr>
        <w:t>室建设项目、审计局一楼大厅及四楼会议室改造工程项目、项目审计费支出。</w:t>
      </w:r>
    </w:p>
    <w:p>
      <w:pPr>
        <w:keepNext w:val="0"/>
        <w:keepLines w:val="0"/>
        <w:pageBreakBefore w:val="0"/>
        <w:widowControl w:val="0"/>
        <w:kinsoku/>
        <w:wordWrap/>
        <w:overflowPunct/>
        <w:topLinePunct w:val="0"/>
        <w:bidi w:val="0"/>
        <w:snapToGrid/>
        <w:spacing w:line="584" w:lineRule="exact"/>
        <w:ind w:firstLine="640"/>
        <w:textAlignment w:val="auto"/>
        <w:rPr>
          <w:rFonts w:ascii="仿宋" w:hAnsi="仿宋" w:eastAsia="仿宋" w:cs="Times New Roman"/>
          <w:b/>
          <w:sz w:val="32"/>
          <w:szCs w:val="32"/>
        </w:rPr>
      </w:pPr>
      <w:r>
        <w:rPr>
          <w:rFonts w:ascii="仿宋" w:hAnsi="仿宋" w:eastAsia="仿宋" w:cs="Times New Roman"/>
          <w:b/>
          <w:sz w:val="32"/>
          <w:szCs w:val="32"/>
        </w:rPr>
        <w:t>3、比上年增减情况</w:t>
      </w:r>
    </w:p>
    <w:p>
      <w:pPr>
        <w:keepNext w:val="0"/>
        <w:keepLines w:val="0"/>
        <w:pageBreakBefore w:val="0"/>
        <w:widowControl w:val="0"/>
        <w:kinsoku/>
        <w:wordWrap/>
        <w:overflowPunct/>
        <w:topLinePunct w:val="0"/>
        <w:bidi w:val="0"/>
        <w:snapToGrid/>
        <w:spacing w:line="584" w:lineRule="exact"/>
        <w:ind w:firstLine="640"/>
        <w:textAlignment w:val="auto"/>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lang w:val="en-US" w:eastAsia="zh-CN"/>
        </w:rPr>
        <w:t>945.65</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rPr>
        <w:t>年预算</w:t>
      </w:r>
      <w:r>
        <w:rPr>
          <w:rFonts w:hint="eastAsia" w:ascii="仿宋" w:hAnsi="仿宋" w:eastAsia="仿宋" w:cs="Times New Roman"/>
          <w:sz w:val="32"/>
          <w:szCs w:val="32"/>
          <w:lang w:val="en-US" w:eastAsia="zh-CN"/>
        </w:rPr>
        <w:t>减少</w:t>
      </w:r>
      <w:r>
        <w:rPr>
          <w:rFonts w:hint="eastAsia" w:ascii="仿宋" w:hAnsi="仿宋" w:eastAsia="仿宋" w:cs="Times New Roman"/>
          <w:sz w:val="32"/>
          <w:szCs w:val="32"/>
          <w:highlight w:val="none"/>
          <w:lang w:val="en-US" w:eastAsia="zh-CN"/>
        </w:rPr>
        <w:t>27.24</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减少61.21</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减少人员经费</w:t>
      </w:r>
      <w:r>
        <w:rPr>
          <w:rFonts w:ascii="仿宋" w:hAnsi="仿宋" w:eastAsia="仿宋" w:cs="Times New Roman"/>
          <w:sz w:val="32"/>
          <w:szCs w:val="32"/>
        </w:rPr>
        <w:t>支出；项目支出增加</w:t>
      </w:r>
      <w:r>
        <w:rPr>
          <w:rFonts w:hint="eastAsia" w:ascii="仿宋" w:hAnsi="仿宋" w:eastAsia="仿宋" w:cs="Times New Roman"/>
          <w:sz w:val="32"/>
          <w:szCs w:val="32"/>
          <w:highlight w:val="none"/>
          <w:lang w:val="en-US" w:eastAsia="zh-CN"/>
        </w:rPr>
        <w:t>33.97</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增加专项审计业务费</w:t>
      </w:r>
      <w:r>
        <w:rPr>
          <w:rFonts w:ascii="仿宋" w:hAnsi="仿宋" w:eastAsia="仿宋" w:cs="Times New Roman"/>
          <w:sz w:val="32"/>
          <w:szCs w:val="32"/>
        </w:rPr>
        <w:t>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198"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198" w:firstLine="640" w:firstLineChars="200"/>
        <w:jc w:val="left"/>
        <w:textAlignment w:val="auto"/>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年，我局机关运行经费共计安排</w:t>
      </w:r>
      <w:r>
        <w:rPr>
          <w:rFonts w:hint="eastAsia" w:ascii="仿宋" w:hAnsi="仿宋" w:eastAsia="仿宋" w:cs="Times New Roman"/>
          <w:sz w:val="32"/>
          <w:szCs w:val="32"/>
          <w:lang w:val="en-US" w:eastAsia="zh-CN"/>
        </w:rPr>
        <w:t>108.43</w:t>
      </w:r>
      <w:r>
        <w:rPr>
          <w:rFonts w:ascii="仿宋" w:hAnsi="仿宋" w:eastAsia="仿宋" w:cs="Times New Roman"/>
          <w:sz w:val="32"/>
          <w:szCs w:val="32"/>
        </w:rPr>
        <w:t>万元，主要用于</w:t>
      </w:r>
      <w:r>
        <w:rPr>
          <w:rFonts w:hint="eastAsia" w:ascii="仿宋" w:hAnsi="仿宋" w:eastAsia="仿宋" w:cs="Times New Roman"/>
          <w:sz w:val="32"/>
          <w:szCs w:val="32"/>
          <w:lang w:val="en-US" w:eastAsia="zh-CN"/>
        </w:rPr>
        <w:t>审计局</w:t>
      </w:r>
      <w:r>
        <w:rPr>
          <w:rFonts w:ascii="仿宋" w:hAnsi="仿宋" w:eastAsia="仿宋" w:cs="Times New Roman"/>
          <w:sz w:val="32"/>
          <w:szCs w:val="32"/>
        </w:rPr>
        <w:t>办公区的日常维修、办公用房水</w:t>
      </w:r>
      <w:r>
        <w:rPr>
          <w:rFonts w:hint="eastAsia" w:ascii="仿宋" w:hAnsi="仿宋" w:eastAsia="仿宋" w:cs="Times New Roman"/>
          <w:sz w:val="32"/>
          <w:szCs w:val="32"/>
          <w:lang w:val="en-US" w:eastAsia="zh-CN"/>
        </w:rPr>
        <w:t>电</w:t>
      </w:r>
      <w:r>
        <w:rPr>
          <w:rFonts w:ascii="仿宋" w:hAnsi="仿宋" w:eastAsia="仿宋" w:cs="Times New Roman"/>
          <w:sz w:val="32"/>
          <w:szCs w:val="32"/>
        </w:rPr>
        <w:t>费、办公用房取暖费、办公用房物业管理费等日常运行支出。</w:t>
      </w:r>
    </w:p>
    <w:p>
      <w:pPr>
        <w:keepNext w:val="0"/>
        <w:keepLines w:val="0"/>
        <w:pageBreakBefore w:val="0"/>
        <w:widowControl w:val="0"/>
        <w:kinsoku/>
        <w:wordWrap/>
        <w:overflowPunct/>
        <w:topLinePunct w:val="0"/>
        <w:autoSpaceDE w:val="0"/>
        <w:autoSpaceDN w:val="0"/>
        <w:bidi w:val="0"/>
        <w:adjustRightInd w:val="0"/>
        <w:snapToGrid/>
        <w:spacing w:line="584" w:lineRule="exact"/>
        <w:ind w:firstLine="707" w:firstLineChars="221"/>
        <w:jc w:val="left"/>
        <w:textAlignment w:val="auto"/>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lang w:val="en-US" w:eastAsia="zh-CN"/>
        </w:rPr>
        <w:t>5.46</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w:t>
      </w:r>
      <w:r>
        <w:rPr>
          <w:rFonts w:hint="eastAsia" w:ascii="仿宋" w:hAnsi="仿宋" w:eastAsia="仿宋" w:cs="Times New Roman"/>
          <w:sz w:val="32"/>
          <w:szCs w:val="32"/>
          <w:lang w:val="en-US" w:eastAsia="zh-CN"/>
        </w:rPr>
        <w:t>车</w:t>
      </w:r>
      <w:r>
        <w:rPr>
          <w:rFonts w:ascii="仿宋" w:hAnsi="仿宋" w:eastAsia="仿宋" w:cs="Times New Roman"/>
          <w:sz w:val="32"/>
          <w:szCs w:val="32"/>
        </w:rPr>
        <w:t>购置及运维费</w:t>
      </w:r>
      <w:r>
        <w:rPr>
          <w:rFonts w:hint="eastAsia" w:ascii="仿宋" w:hAnsi="仿宋" w:eastAsia="仿宋" w:cs="Times New Roman"/>
          <w:sz w:val="32"/>
          <w:szCs w:val="32"/>
          <w:lang w:val="en-US" w:eastAsia="zh-CN"/>
        </w:rPr>
        <w:t>5</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万元，公务用车运维费</w:t>
      </w:r>
      <w:r>
        <w:rPr>
          <w:rFonts w:hint="eastAsia" w:ascii="仿宋" w:hAnsi="仿宋" w:eastAsia="仿宋" w:cs="Times New Roman"/>
          <w:sz w:val="32"/>
          <w:szCs w:val="32"/>
          <w:lang w:val="en-US" w:eastAsia="zh-CN"/>
        </w:rPr>
        <w:t>5</w:t>
      </w:r>
      <w:r>
        <w:rPr>
          <w:rFonts w:ascii="仿宋" w:hAnsi="仿宋" w:eastAsia="仿宋" w:cs="Times New Roman"/>
          <w:sz w:val="32"/>
          <w:szCs w:val="32"/>
        </w:rPr>
        <w:t>万元)；公务接待费</w:t>
      </w:r>
      <w:r>
        <w:rPr>
          <w:rFonts w:hint="eastAsia" w:ascii="仿宋" w:hAnsi="仿宋" w:eastAsia="仿宋" w:cs="Times New Roman"/>
          <w:sz w:val="32"/>
          <w:szCs w:val="32"/>
          <w:lang w:val="en-US" w:eastAsia="zh-CN"/>
        </w:rPr>
        <w:t>0.46</w:t>
      </w:r>
      <w:r>
        <w:rPr>
          <w:rFonts w:ascii="仿宋" w:hAnsi="仿宋" w:eastAsia="仿宋" w:cs="Times New Roman"/>
          <w:sz w:val="32"/>
          <w:szCs w:val="32"/>
        </w:rPr>
        <w:t>万元。与20</w:t>
      </w:r>
      <w:r>
        <w:rPr>
          <w:rFonts w:hint="eastAsia" w:ascii="仿宋" w:hAnsi="仿宋" w:eastAsia="仿宋" w:cs="Times New Roman"/>
          <w:sz w:val="32"/>
          <w:szCs w:val="32"/>
        </w:rPr>
        <w:t>21</w:t>
      </w:r>
      <w:r>
        <w:rPr>
          <w:rFonts w:ascii="仿宋" w:hAnsi="仿宋" w:eastAsia="仿宋" w:cs="Times New Roman"/>
          <w:sz w:val="32"/>
          <w:szCs w:val="32"/>
        </w:rPr>
        <w:t>年</w:t>
      </w:r>
      <w:r>
        <w:rPr>
          <w:rFonts w:hint="eastAsia" w:ascii="仿宋" w:hAnsi="仿宋" w:eastAsia="仿宋" w:cs="Times New Roman"/>
          <w:sz w:val="32"/>
          <w:szCs w:val="32"/>
        </w:rPr>
        <w:t>相比</w:t>
      </w:r>
      <w:r>
        <w:rPr>
          <w:rFonts w:ascii="仿宋" w:hAnsi="仿宋" w:eastAsia="仿宋" w:cs="Times New Roman"/>
          <w:sz w:val="32"/>
          <w:szCs w:val="32"/>
          <w:highlight w:val="none"/>
        </w:rPr>
        <w:t>减</w:t>
      </w:r>
      <w:r>
        <w:rPr>
          <w:rFonts w:hint="eastAsia" w:ascii="仿宋" w:hAnsi="仿宋" w:eastAsia="仿宋" w:cs="Times New Roman"/>
          <w:sz w:val="32"/>
          <w:szCs w:val="32"/>
          <w:highlight w:val="none"/>
        </w:rPr>
        <w:t>少</w:t>
      </w:r>
      <w:r>
        <w:rPr>
          <w:rFonts w:hint="eastAsia" w:ascii="仿宋" w:hAnsi="仿宋" w:eastAsia="仿宋" w:cs="Times New Roman"/>
          <w:sz w:val="32"/>
          <w:szCs w:val="32"/>
          <w:lang w:val="en-US" w:eastAsia="zh-CN"/>
        </w:rPr>
        <w:t>0.04</w:t>
      </w:r>
      <w:r>
        <w:rPr>
          <w:rFonts w:ascii="仿宋" w:hAnsi="仿宋" w:eastAsia="仿宋" w:cs="Times New Roman"/>
          <w:sz w:val="32"/>
          <w:szCs w:val="32"/>
        </w:rPr>
        <w:t>万元，</w:t>
      </w:r>
      <w:r>
        <w:rPr>
          <w:rFonts w:hint="eastAsia" w:ascii="仿宋" w:hAnsi="仿宋" w:eastAsia="仿宋" w:cs="Times New Roman"/>
          <w:sz w:val="32"/>
          <w:szCs w:val="32"/>
        </w:rPr>
        <w:t>其中，</w:t>
      </w:r>
      <w:r>
        <w:rPr>
          <w:rFonts w:ascii="仿宋" w:hAnsi="仿宋" w:eastAsia="仿宋" w:cs="Times New Roman"/>
          <w:sz w:val="32"/>
          <w:szCs w:val="32"/>
        </w:rPr>
        <w:t>公务用车购置及运维费</w:t>
      </w:r>
      <w:r>
        <w:rPr>
          <w:rFonts w:ascii="仿宋" w:hAnsi="仿宋" w:eastAsia="仿宋" w:cs="Times New Roman"/>
          <w:color w:val="auto"/>
          <w:sz w:val="32"/>
          <w:szCs w:val="32"/>
        </w:rPr>
        <w:t>与20</w:t>
      </w:r>
      <w:r>
        <w:rPr>
          <w:rFonts w:hint="eastAsia" w:ascii="仿宋" w:hAnsi="仿宋" w:eastAsia="仿宋" w:cs="Times New Roman"/>
          <w:color w:val="auto"/>
          <w:sz w:val="32"/>
          <w:szCs w:val="32"/>
        </w:rPr>
        <w:t>21</w:t>
      </w:r>
      <w:r>
        <w:rPr>
          <w:rFonts w:ascii="仿宋" w:hAnsi="仿宋" w:eastAsia="仿宋" w:cs="Times New Roman"/>
          <w:color w:val="auto"/>
          <w:sz w:val="32"/>
          <w:szCs w:val="32"/>
        </w:rPr>
        <w:t>年相比持平，无增减变化；公</w:t>
      </w:r>
      <w:r>
        <w:rPr>
          <w:rFonts w:ascii="仿宋" w:hAnsi="仿宋" w:eastAsia="仿宋" w:cs="Times New Roman"/>
          <w:sz w:val="32"/>
          <w:szCs w:val="32"/>
        </w:rPr>
        <w:t>务接待费</w:t>
      </w:r>
      <w:r>
        <w:rPr>
          <w:rFonts w:hint="eastAsia" w:ascii="仿宋" w:hAnsi="仿宋" w:eastAsia="仿宋" w:cs="Times New Roman"/>
          <w:sz w:val="32"/>
          <w:szCs w:val="32"/>
          <w:lang w:val="en-US" w:eastAsia="zh-CN"/>
        </w:rPr>
        <w:t>减少0.04</w:t>
      </w:r>
      <w:r>
        <w:rPr>
          <w:rFonts w:hint="eastAsia" w:ascii="仿宋" w:hAnsi="仿宋" w:eastAsia="仿宋" w:cs="Times New Roman"/>
          <w:sz w:val="32"/>
          <w:szCs w:val="32"/>
        </w:rPr>
        <w:t>万元，</w:t>
      </w:r>
      <w:r>
        <w:rPr>
          <w:rFonts w:ascii="仿宋" w:hAnsi="仿宋" w:eastAsia="仿宋" w:cs="Times New Roman"/>
          <w:sz w:val="32"/>
          <w:szCs w:val="32"/>
        </w:rPr>
        <w:t>主要原因是</w:t>
      </w:r>
      <w:r>
        <w:rPr>
          <w:rFonts w:hint="eastAsia" w:ascii="仿宋" w:hAnsi="仿宋" w:eastAsia="仿宋" w:cs="Times New Roman"/>
          <w:sz w:val="32"/>
          <w:szCs w:val="32"/>
        </w:rPr>
        <w:t>我部门切实落实勤俭节约各项规定，严格控制公务接待费支出。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绩效预算信息</w:t>
      </w:r>
    </w:p>
    <w:p>
      <w:pPr>
        <w:keepNext w:val="0"/>
        <w:keepLines w:val="0"/>
        <w:pageBreakBefore w:val="0"/>
        <w:widowControl w:val="0"/>
        <w:kinsoku/>
        <w:wordWrap/>
        <w:overflowPunct/>
        <w:topLinePunct w:val="0"/>
        <w:bidi w:val="0"/>
        <w:snapToGrid/>
        <w:spacing w:line="584" w:lineRule="exact"/>
        <w:ind w:firstLine="960" w:firstLineChars="3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第一部分 部门整体绩效目标</w:t>
      </w:r>
    </w:p>
    <w:p>
      <w:pPr>
        <w:keepNext w:val="0"/>
        <w:keepLines w:val="0"/>
        <w:pageBreakBefore w:val="0"/>
        <w:widowControl w:val="0"/>
        <w:kinsoku/>
        <w:wordWrap/>
        <w:overflowPunct/>
        <w:topLinePunct w:val="0"/>
        <w:bidi w:val="0"/>
        <w:snapToGrid/>
        <w:spacing w:line="584" w:lineRule="exact"/>
        <w:ind w:firstLine="643" w:firstLineChars="200"/>
        <w:textAlignment w:val="auto"/>
        <w:rPr>
          <w:rFonts w:ascii="楷体" w:hAnsi="楷体" w:eastAsia="楷体" w:cs="Times New Roman"/>
          <w:b/>
          <w:sz w:val="32"/>
          <w:szCs w:val="32"/>
        </w:rPr>
      </w:pPr>
      <w:r>
        <w:rPr>
          <w:rFonts w:hint="eastAsia" w:ascii="楷体" w:hAnsi="楷体" w:eastAsia="楷体" w:cs="Times New Roman"/>
          <w:b/>
          <w:sz w:val="32"/>
          <w:szCs w:val="32"/>
        </w:rPr>
        <w:t>（一）总体绩效目标</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根据县财政局统一部署，结合我局实际，确定2022年审计局总体发展规划目标是：坚持以习近平新时代中国特色社会主义思想为指导，全面贯彻党的十九大和十九届二中、三中、四中、五中、六中全会以及中央审计委员会议精神，认真落实省委省政府、市委市政府、县委县政府决策部署，增强“四个意识”、坚定“四个自信”、做到“两个维护”，贯彻新发展理念，聚焦主责主业，坚持科技强审，完善一级预算单位审计全覆盖模式，深化预算执行、决算草案审计，推动全面实施绩效管理，促进财政资金提质增效，促进全县经济高质量发展。</w:t>
      </w:r>
    </w:p>
    <w:p>
      <w:pPr>
        <w:keepNext w:val="0"/>
        <w:keepLines w:val="0"/>
        <w:pageBreakBefore w:val="0"/>
        <w:widowControl w:val="0"/>
        <w:kinsoku/>
        <w:wordWrap/>
        <w:overflowPunct/>
        <w:topLinePunct w:val="0"/>
        <w:bidi w:val="0"/>
        <w:snapToGrid/>
        <w:spacing w:line="584" w:lineRule="exact"/>
        <w:ind w:firstLine="643" w:firstLineChars="200"/>
        <w:textAlignment w:val="auto"/>
        <w:rPr>
          <w:rFonts w:ascii="楷体" w:hAnsi="楷体" w:eastAsia="楷体" w:cs="Times New Roman"/>
          <w:b/>
          <w:sz w:val="32"/>
          <w:szCs w:val="32"/>
        </w:rPr>
      </w:pPr>
      <w:r>
        <w:rPr>
          <w:rFonts w:hint="eastAsia" w:ascii="楷体" w:hAnsi="楷体" w:eastAsia="楷体" w:cs="Times New Roman"/>
          <w:b/>
          <w:sz w:val="32"/>
          <w:szCs w:val="32"/>
        </w:rPr>
        <w:t>（二）分项绩效目标</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3" w:firstLineChars="200"/>
        <w:jc w:val="left"/>
        <w:textAlignment w:val="auto"/>
        <w:rPr>
          <w:rFonts w:hint="eastAsia" w:ascii="仿宋" w:hAnsi="仿宋" w:eastAsia="仿宋" w:cs="Times New Roman"/>
          <w:b/>
          <w:bCs/>
          <w:sz w:val="32"/>
          <w:szCs w:val="32"/>
        </w:rPr>
      </w:pPr>
      <w:r>
        <w:rPr>
          <w:rFonts w:hint="eastAsia" w:ascii="仿宋" w:hAnsi="仿宋" w:eastAsia="仿宋" w:cs="Times New Roman"/>
          <w:b/>
          <w:bCs/>
          <w:sz w:val="32"/>
          <w:szCs w:val="32"/>
          <w:lang w:val="en-US" w:eastAsia="zh-CN"/>
        </w:rPr>
        <w:t>1、</w:t>
      </w:r>
      <w:r>
        <w:rPr>
          <w:rFonts w:hint="eastAsia" w:ascii="仿宋" w:hAnsi="仿宋" w:eastAsia="仿宋" w:cs="Times New Roman"/>
          <w:b/>
          <w:bCs/>
          <w:sz w:val="32"/>
          <w:szCs w:val="32"/>
        </w:rPr>
        <w:t>持续开展审计业务</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绩效目标：建立完善审计项目统筹协调机制，优化职能管理，做好项目统筹，整合审计资源，科学制定、合理安排审计计划和项目，扎实做好数据分析，用好大数据技术，深入研究政策制度，细化审前调查和实施方案，切实增强实施方案的指导性，推进项目按要求、按步骤、按内容实施到位，确保审计项目按时高质量完成，达到预期审计目的。树立研究型审计理念，对发现的问题、案例和重大违纪违法问题线索及时深入进行分析归纳、深入挖掘、系统研究，从体制机制制度层面提出建议，更好发挥审计“治已病、防未病”作用，全面提高审计质量，推动审计高质量发展。</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绩效指标：全年出具审计报告数量不少于10个。</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3" w:firstLineChars="200"/>
        <w:jc w:val="left"/>
        <w:textAlignment w:val="auto"/>
        <w:rPr>
          <w:rFonts w:hint="eastAsia" w:ascii="仿宋" w:hAnsi="仿宋" w:eastAsia="仿宋" w:cs="Times New Roman"/>
          <w:b/>
          <w:bCs/>
          <w:sz w:val="32"/>
          <w:szCs w:val="32"/>
        </w:rPr>
      </w:pPr>
      <w:r>
        <w:rPr>
          <w:rFonts w:hint="eastAsia" w:ascii="仿宋" w:hAnsi="仿宋" w:eastAsia="仿宋" w:cs="Times New Roman"/>
          <w:b/>
          <w:bCs/>
          <w:sz w:val="32"/>
          <w:szCs w:val="32"/>
          <w:lang w:val="en-US" w:eastAsia="zh-CN"/>
        </w:rPr>
        <w:t>2、</w:t>
      </w:r>
      <w:r>
        <w:rPr>
          <w:rFonts w:hint="eastAsia" w:ascii="仿宋" w:hAnsi="仿宋" w:eastAsia="仿宋" w:cs="Times New Roman"/>
          <w:b/>
          <w:bCs/>
          <w:sz w:val="32"/>
          <w:szCs w:val="32"/>
        </w:rPr>
        <w:t>推进内审工作、加强审计信息化建设</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绩效目标：组织开展信息化建设、教育培训、审计理论研究，抓好新闻宣传和文化建设、政务信息公开，开展审计服务和业务咨询。信息保障安全有效，信息化建设稳步推进；加强宣传引导；提高人员业务水平；促进审计文化研究，推动审计事业发展。</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绩效指标：审计报告完成质量达到100%。</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3" w:firstLineChars="200"/>
        <w:jc w:val="left"/>
        <w:textAlignment w:val="auto"/>
        <w:rPr>
          <w:rFonts w:hint="eastAsia" w:ascii="仿宋" w:hAnsi="仿宋" w:eastAsia="仿宋" w:cs="Times New Roman"/>
          <w:b/>
          <w:bCs/>
          <w:sz w:val="32"/>
          <w:szCs w:val="32"/>
          <w:lang w:eastAsia="zh-CN"/>
        </w:rPr>
      </w:pPr>
      <w:r>
        <w:rPr>
          <w:rFonts w:hint="eastAsia" w:ascii="仿宋" w:hAnsi="仿宋" w:eastAsia="仿宋" w:cs="Times New Roman"/>
          <w:b/>
          <w:bCs/>
          <w:sz w:val="32"/>
          <w:szCs w:val="32"/>
          <w:lang w:val="en-US" w:eastAsia="zh-CN"/>
        </w:rPr>
        <w:t>3、</w:t>
      </w:r>
      <w:r>
        <w:rPr>
          <w:rFonts w:hint="eastAsia" w:ascii="仿宋" w:hAnsi="仿宋" w:eastAsia="仿宋" w:cs="Times New Roman"/>
          <w:b/>
          <w:bCs/>
          <w:sz w:val="32"/>
          <w:szCs w:val="32"/>
        </w:rPr>
        <w:t>提高审计质量和机关法制管理水平</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绩效目标：研究制定地方性审计法规，对审计项目、规范性文件进行审核，做好行政复议和行政应诉工作，指导县审计机关的法制工作、依法核查社会审计机构相关审计报告，通过专项业务培训，及时更新审计人员知识结构。</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绩效指标：年度内参加培训人数达到35人，培训合格率达到100%。</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3" w:firstLineChars="200"/>
        <w:jc w:val="left"/>
        <w:textAlignment w:val="auto"/>
        <w:rPr>
          <w:rFonts w:hint="eastAsia" w:ascii="仿宋" w:hAnsi="仿宋" w:eastAsia="仿宋" w:cs="Times New Roman"/>
          <w:b/>
          <w:bCs/>
          <w:sz w:val="32"/>
          <w:szCs w:val="32"/>
          <w:lang w:eastAsia="zh-CN"/>
        </w:rPr>
      </w:pPr>
      <w:r>
        <w:rPr>
          <w:rFonts w:hint="eastAsia" w:ascii="仿宋" w:hAnsi="仿宋" w:eastAsia="仿宋" w:cs="Times New Roman"/>
          <w:b/>
          <w:bCs/>
          <w:sz w:val="32"/>
          <w:szCs w:val="32"/>
          <w:lang w:val="en-US" w:eastAsia="zh-CN"/>
        </w:rPr>
        <w:t>4、</w:t>
      </w:r>
      <w:r>
        <w:rPr>
          <w:rFonts w:hint="eastAsia" w:ascii="仿宋" w:hAnsi="仿宋" w:eastAsia="仿宋" w:cs="Times New Roman"/>
          <w:b/>
          <w:bCs/>
          <w:sz w:val="32"/>
          <w:szCs w:val="32"/>
        </w:rPr>
        <w:t>保障审计工作顺利开展</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绩效目标：通过网络系统的运行维护，保障审计工作的正常开展。</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绩效指标：确保网络运行系统正常运转率达到100%。</w:t>
      </w:r>
    </w:p>
    <w:p>
      <w:pPr>
        <w:keepNext w:val="0"/>
        <w:keepLines w:val="0"/>
        <w:pageBreakBefore w:val="0"/>
        <w:widowControl w:val="0"/>
        <w:kinsoku/>
        <w:wordWrap/>
        <w:overflowPunct/>
        <w:topLinePunct w:val="0"/>
        <w:bidi w:val="0"/>
        <w:snapToGrid/>
        <w:spacing w:line="584" w:lineRule="exact"/>
        <w:ind w:firstLine="643" w:firstLineChars="200"/>
        <w:textAlignment w:val="auto"/>
        <w:rPr>
          <w:rFonts w:ascii="楷体" w:hAnsi="楷体" w:eastAsia="楷体" w:cs="Times New Roman"/>
          <w:b/>
          <w:sz w:val="32"/>
          <w:szCs w:val="32"/>
        </w:rPr>
      </w:pPr>
      <w:r>
        <w:rPr>
          <w:rFonts w:hint="eastAsia" w:ascii="楷体" w:hAnsi="楷体" w:eastAsia="楷体" w:cs="Times New Roman"/>
          <w:b/>
          <w:sz w:val="32"/>
          <w:szCs w:val="32"/>
        </w:rPr>
        <w:t>（三）工作保障措施</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3" w:firstLineChars="200"/>
        <w:jc w:val="left"/>
        <w:textAlignment w:val="auto"/>
        <w:rPr>
          <w:rFonts w:hint="eastAsia" w:ascii="仿宋" w:hAnsi="仿宋" w:eastAsia="仿宋" w:cs="Times New Roman"/>
          <w:b/>
          <w:bCs/>
          <w:sz w:val="32"/>
          <w:szCs w:val="32"/>
        </w:rPr>
      </w:pPr>
      <w:r>
        <w:rPr>
          <w:rFonts w:hint="eastAsia" w:ascii="仿宋" w:hAnsi="仿宋" w:eastAsia="仿宋" w:cs="Times New Roman"/>
          <w:b/>
          <w:bCs/>
          <w:sz w:val="32"/>
          <w:szCs w:val="32"/>
          <w:lang w:val="en-US" w:eastAsia="zh-CN"/>
        </w:rPr>
        <w:t>1、</w:t>
      </w:r>
      <w:r>
        <w:rPr>
          <w:rFonts w:hint="eastAsia" w:ascii="仿宋" w:hAnsi="仿宋" w:eastAsia="仿宋" w:cs="Times New Roman"/>
          <w:b/>
          <w:bCs/>
          <w:sz w:val="32"/>
          <w:szCs w:val="32"/>
        </w:rPr>
        <w:t>完善制度建设强化学习本领</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学习习近平新时代中国特色社会主义思想，认真践行审计工作要求，提高党员干部践行初心使命意识和履职尽责能力。加强业务技能培训、以干代训、典型案例、分析研讨，积极推进研究型审计工作，强化审计宏观服务能力，审计结果更好为县委县政府提供决策参考。</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3" w:firstLineChars="200"/>
        <w:jc w:val="left"/>
        <w:textAlignment w:val="auto"/>
        <w:rPr>
          <w:rFonts w:hint="eastAsia" w:ascii="仿宋" w:hAnsi="仿宋" w:eastAsia="仿宋" w:cs="Times New Roman"/>
          <w:b/>
          <w:bCs/>
          <w:sz w:val="32"/>
          <w:szCs w:val="32"/>
        </w:rPr>
      </w:pPr>
      <w:r>
        <w:rPr>
          <w:rFonts w:hint="eastAsia" w:ascii="仿宋" w:hAnsi="仿宋" w:eastAsia="仿宋" w:cs="Times New Roman"/>
          <w:b/>
          <w:bCs/>
          <w:sz w:val="32"/>
          <w:szCs w:val="32"/>
          <w:lang w:val="en-US" w:eastAsia="zh-CN"/>
        </w:rPr>
        <w:t>2、</w:t>
      </w:r>
      <w:r>
        <w:rPr>
          <w:rFonts w:hint="eastAsia" w:ascii="仿宋" w:hAnsi="仿宋" w:eastAsia="仿宋" w:cs="Times New Roman"/>
          <w:b/>
          <w:bCs/>
          <w:sz w:val="32"/>
          <w:szCs w:val="32"/>
        </w:rPr>
        <w:t>强化创新规范</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加强审计信息化建设，有效运用“总体分析、发现疑点、分散核实、系统研究”的数字化审计模式，实现对重点对象、重要领域和重点行业的实时采集与数据分析，实现对一级预算单位数据分析全覆盖，将大数据应用嵌入预算执行、自然资源、投资等审计监督全过程，提高审计效率。</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3" w:firstLineChars="200"/>
        <w:jc w:val="left"/>
        <w:textAlignment w:val="auto"/>
        <w:rPr>
          <w:rFonts w:hint="eastAsia" w:ascii="仿宋" w:hAnsi="仿宋" w:eastAsia="仿宋" w:cs="Times New Roman"/>
          <w:b/>
          <w:bCs/>
          <w:sz w:val="32"/>
          <w:szCs w:val="32"/>
        </w:rPr>
      </w:pPr>
      <w:r>
        <w:rPr>
          <w:rFonts w:hint="eastAsia" w:ascii="仿宋" w:hAnsi="仿宋" w:eastAsia="仿宋" w:cs="Times New Roman"/>
          <w:b/>
          <w:bCs/>
          <w:sz w:val="32"/>
          <w:szCs w:val="32"/>
          <w:lang w:val="en-US" w:eastAsia="zh-CN"/>
        </w:rPr>
        <w:t>3、</w:t>
      </w:r>
      <w:r>
        <w:rPr>
          <w:rFonts w:hint="eastAsia" w:ascii="仿宋" w:hAnsi="仿宋" w:eastAsia="仿宋" w:cs="Times New Roman"/>
          <w:b/>
          <w:bCs/>
          <w:sz w:val="32"/>
          <w:szCs w:val="32"/>
        </w:rPr>
        <w:t>强化法治意识</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各相关业务股室加强审计现场管理，坚持依法依规审计，防范风险，严格落实中央八项规定及其实施细则精神，严格遵守审计“八不准”工作纪律和审计“四严禁”工作要求。审计组组长对各项审计纪律的执行情况负总责，审计人员要做到坚持原则，秉公执法，求真务实，文明审计，树立审计人员良好的职业形象。</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3" w:firstLineChars="200"/>
        <w:jc w:val="left"/>
        <w:textAlignment w:val="auto"/>
        <w:rPr>
          <w:rFonts w:hint="eastAsia" w:ascii="仿宋" w:hAnsi="仿宋" w:eastAsia="仿宋" w:cs="Times New Roman"/>
          <w:b/>
          <w:bCs/>
          <w:sz w:val="32"/>
          <w:szCs w:val="32"/>
        </w:rPr>
      </w:pPr>
      <w:r>
        <w:rPr>
          <w:rFonts w:hint="eastAsia" w:ascii="仿宋" w:hAnsi="仿宋" w:eastAsia="仿宋" w:cs="Times New Roman"/>
          <w:b/>
          <w:bCs/>
          <w:sz w:val="32"/>
          <w:szCs w:val="32"/>
          <w:lang w:val="en-US" w:eastAsia="zh-CN"/>
        </w:rPr>
        <w:t>4、</w:t>
      </w:r>
      <w:r>
        <w:rPr>
          <w:rFonts w:hint="eastAsia" w:ascii="仿宋" w:hAnsi="仿宋" w:eastAsia="仿宋" w:cs="Times New Roman"/>
          <w:b/>
          <w:bCs/>
          <w:sz w:val="32"/>
          <w:szCs w:val="32"/>
        </w:rPr>
        <w:t>强化结果运用</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对审计查出的问题，严格落实记账销账制度，逐项逐条摆列清单，详细说明问题表现、违规性质、法规依据、整改要求和时限等要素，提出整改意见要科学合理、分类施策。明确被审计单位整改主体责任，严格对账销号，对整改情况及时组织“回头看”，确保审计整改工作取得实效。对具有普遍性、倾向性和苗头性的问题，深入分析可能存在的体制性障碍、机制性缺陷及制度性漏洞，促进加强管理、完善制度。</w:t>
      </w:r>
    </w:p>
    <w:p>
      <w:pPr>
        <w:spacing w:line="584" w:lineRule="exact"/>
        <w:ind w:firstLine="643" w:firstLineChars="200"/>
        <w:rPr>
          <w:rFonts w:hint="eastAsia"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p>
      <w:pPr>
        <w:spacing w:line="584" w:lineRule="exact"/>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 xml:space="preserve">                       </w:t>
      </w:r>
    </w:p>
    <w:tbl>
      <w:tblPr>
        <w:tblStyle w:val="8"/>
        <w:tblpPr w:leftFromText="180" w:rightFromText="180" w:vertAnchor="text" w:horzAnchor="page" w:tblpX="1754" w:tblpY="173"/>
        <w:tblOverlap w:val="never"/>
        <w:tblW w:w="8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989"/>
        <w:gridCol w:w="848"/>
        <w:gridCol w:w="1836"/>
        <w:gridCol w:w="1126"/>
        <w:gridCol w:w="679"/>
        <w:gridCol w:w="581"/>
        <w:gridCol w:w="500"/>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3" w:type="dxa"/>
            <w:vMerge w:val="restart"/>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一级指标</w:t>
            </w:r>
          </w:p>
        </w:tc>
        <w:tc>
          <w:tcPr>
            <w:tcW w:w="989" w:type="dxa"/>
            <w:vMerge w:val="restart"/>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二级指标</w:t>
            </w:r>
          </w:p>
        </w:tc>
        <w:tc>
          <w:tcPr>
            <w:tcW w:w="848" w:type="dxa"/>
            <w:vMerge w:val="restart"/>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三级指标</w:t>
            </w:r>
          </w:p>
        </w:tc>
        <w:tc>
          <w:tcPr>
            <w:tcW w:w="1836" w:type="dxa"/>
            <w:vMerge w:val="restart"/>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评（扣）分标准</w:t>
            </w:r>
          </w:p>
        </w:tc>
        <w:tc>
          <w:tcPr>
            <w:tcW w:w="1126" w:type="dxa"/>
            <w:vMerge w:val="restart"/>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绩效指标描述</w:t>
            </w:r>
          </w:p>
        </w:tc>
        <w:tc>
          <w:tcPr>
            <w:tcW w:w="1760" w:type="dxa"/>
            <w:gridSpan w:val="3"/>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指标值</w:t>
            </w:r>
          </w:p>
        </w:tc>
        <w:tc>
          <w:tcPr>
            <w:tcW w:w="698" w:type="dxa"/>
            <w:vMerge w:val="restart"/>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3" w:type="dxa"/>
            <w:vMerge w:val="continue"/>
            <w:noWrap w:val="0"/>
            <w:vAlign w:val="center"/>
          </w:tcPr>
          <w:p>
            <w:pPr>
              <w:widowControl/>
              <w:jc w:val="left"/>
              <w:rPr>
                <w:rFonts w:ascii="宋体" w:hAnsi="宋体" w:cs="宋体"/>
                <w:b/>
                <w:bCs/>
                <w:color w:val="000000"/>
                <w:kern w:val="0"/>
                <w:sz w:val="22"/>
              </w:rPr>
            </w:pPr>
          </w:p>
        </w:tc>
        <w:tc>
          <w:tcPr>
            <w:tcW w:w="989" w:type="dxa"/>
            <w:vMerge w:val="continue"/>
            <w:noWrap w:val="0"/>
            <w:vAlign w:val="center"/>
          </w:tcPr>
          <w:p>
            <w:pPr>
              <w:widowControl/>
              <w:jc w:val="left"/>
              <w:rPr>
                <w:rFonts w:ascii="宋体" w:hAnsi="宋体" w:cs="宋体"/>
                <w:b/>
                <w:bCs/>
                <w:color w:val="000000"/>
                <w:kern w:val="0"/>
                <w:sz w:val="22"/>
              </w:rPr>
            </w:pPr>
          </w:p>
        </w:tc>
        <w:tc>
          <w:tcPr>
            <w:tcW w:w="848" w:type="dxa"/>
            <w:vMerge w:val="continue"/>
            <w:noWrap w:val="0"/>
            <w:vAlign w:val="center"/>
          </w:tcPr>
          <w:p>
            <w:pPr>
              <w:widowControl/>
              <w:jc w:val="left"/>
              <w:rPr>
                <w:rFonts w:ascii="宋体" w:hAnsi="宋体" w:cs="宋体"/>
                <w:b/>
                <w:bCs/>
                <w:color w:val="000000"/>
                <w:kern w:val="0"/>
                <w:sz w:val="22"/>
              </w:rPr>
            </w:pPr>
          </w:p>
        </w:tc>
        <w:tc>
          <w:tcPr>
            <w:tcW w:w="1836" w:type="dxa"/>
            <w:vMerge w:val="continue"/>
            <w:noWrap w:val="0"/>
            <w:vAlign w:val="center"/>
          </w:tcPr>
          <w:p>
            <w:pPr>
              <w:widowControl/>
              <w:jc w:val="left"/>
              <w:rPr>
                <w:rFonts w:ascii="宋体" w:hAnsi="宋体" w:cs="宋体"/>
                <w:b/>
                <w:bCs/>
                <w:color w:val="000000"/>
                <w:kern w:val="0"/>
                <w:sz w:val="22"/>
              </w:rPr>
            </w:pPr>
          </w:p>
        </w:tc>
        <w:tc>
          <w:tcPr>
            <w:tcW w:w="1126" w:type="dxa"/>
            <w:vMerge w:val="continue"/>
            <w:noWrap w:val="0"/>
            <w:vAlign w:val="center"/>
          </w:tcPr>
          <w:p>
            <w:pPr>
              <w:widowControl/>
              <w:jc w:val="left"/>
              <w:rPr>
                <w:rFonts w:ascii="宋体" w:hAnsi="宋体" w:cs="宋体"/>
                <w:b/>
                <w:bCs/>
                <w:color w:val="000000"/>
                <w:kern w:val="0"/>
                <w:sz w:val="22"/>
              </w:rPr>
            </w:pPr>
          </w:p>
        </w:tc>
        <w:tc>
          <w:tcPr>
            <w:tcW w:w="679" w:type="dxa"/>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符号</w:t>
            </w:r>
          </w:p>
        </w:tc>
        <w:tc>
          <w:tcPr>
            <w:tcW w:w="581" w:type="dxa"/>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值</w:t>
            </w:r>
          </w:p>
        </w:tc>
        <w:tc>
          <w:tcPr>
            <w:tcW w:w="500" w:type="dxa"/>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符号</w:t>
            </w:r>
          </w:p>
        </w:tc>
        <w:tc>
          <w:tcPr>
            <w:tcW w:w="698" w:type="dxa"/>
            <w:vMerge w:val="continue"/>
            <w:noWrap w:val="0"/>
            <w:vAlign w:val="center"/>
          </w:tcPr>
          <w:p>
            <w:pPr>
              <w:widowControl/>
              <w:jc w:val="left"/>
              <w:rPr>
                <w:rFonts w:ascii="宋体" w:hAnsi="宋体" w:cs="宋体"/>
                <w:b/>
                <w:bCs/>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43" w:type="dxa"/>
            <w:vMerge w:val="restart"/>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部门产出</w:t>
            </w:r>
          </w:p>
        </w:tc>
        <w:tc>
          <w:tcPr>
            <w:tcW w:w="989" w:type="dxa"/>
            <w:vMerge w:val="restart"/>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数量</w:t>
            </w:r>
          </w:p>
        </w:tc>
        <w:tc>
          <w:tcPr>
            <w:tcW w:w="848"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审计报告数量</w:t>
            </w:r>
          </w:p>
        </w:tc>
        <w:tc>
          <w:tcPr>
            <w:tcW w:w="1836"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完成全部审计报告得满分，每减少指标值的5%，扣该指标分值的10%，完成率低于60%得0分。</w:t>
            </w:r>
          </w:p>
        </w:tc>
        <w:tc>
          <w:tcPr>
            <w:tcW w:w="1126"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全年出具审计报告数量</w:t>
            </w:r>
          </w:p>
        </w:tc>
        <w:tc>
          <w:tcPr>
            <w:tcW w:w="679"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581" w:type="dxa"/>
            <w:noWrap w:val="0"/>
            <w:vAlign w:val="center"/>
          </w:tcPr>
          <w:p>
            <w:pPr>
              <w:widowControl/>
              <w:jc w:val="center"/>
              <w:rPr>
                <w:rFonts w:hint="eastAsia" w:ascii="宋体" w:hAnsi="宋体" w:cs="宋体"/>
                <w:kern w:val="0"/>
                <w:sz w:val="18"/>
                <w:szCs w:val="18"/>
              </w:rPr>
            </w:pPr>
            <w:r>
              <w:rPr>
                <w:rFonts w:ascii="宋体" w:hAnsi="宋体" w:cs="宋体"/>
                <w:kern w:val="0"/>
                <w:sz w:val="18"/>
                <w:szCs w:val="18"/>
              </w:rPr>
              <w:t>10</w:t>
            </w:r>
          </w:p>
        </w:tc>
        <w:tc>
          <w:tcPr>
            <w:tcW w:w="500"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个</w:t>
            </w:r>
          </w:p>
        </w:tc>
        <w:tc>
          <w:tcPr>
            <w:tcW w:w="69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历年数据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43" w:type="dxa"/>
            <w:vMerge w:val="continue"/>
            <w:noWrap w:val="0"/>
            <w:vAlign w:val="center"/>
          </w:tcPr>
          <w:p>
            <w:pPr>
              <w:widowControl/>
              <w:jc w:val="center"/>
              <w:rPr>
                <w:rFonts w:hint="eastAsia" w:ascii="宋体" w:hAnsi="宋体" w:cs="宋体"/>
                <w:color w:val="000000"/>
                <w:kern w:val="0"/>
                <w:sz w:val="22"/>
              </w:rPr>
            </w:pPr>
          </w:p>
        </w:tc>
        <w:tc>
          <w:tcPr>
            <w:tcW w:w="989" w:type="dxa"/>
            <w:vMerge w:val="continue"/>
            <w:noWrap w:val="0"/>
            <w:vAlign w:val="center"/>
          </w:tcPr>
          <w:p>
            <w:pPr>
              <w:widowControl/>
              <w:jc w:val="center"/>
              <w:rPr>
                <w:rFonts w:hint="eastAsia" w:ascii="宋体" w:hAnsi="宋体" w:cs="宋体"/>
                <w:color w:val="000000"/>
                <w:kern w:val="0"/>
                <w:sz w:val="22"/>
              </w:rPr>
            </w:pPr>
          </w:p>
        </w:tc>
        <w:tc>
          <w:tcPr>
            <w:tcW w:w="848" w:type="dxa"/>
            <w:noWrap w:val="0"/>
            <w:vAlign w:val="center"/>
          </w:tcPr>
          <w:p>
            <w:pPr>
              <w:widowControl/>
              <w:jc w:val="center"/>
              <w:rPr>
                <w:rFonts w:hint="eastAsia" w:ascii="宋体" w:hAnsi="宋体" w:cs="宋体"/>
                <w:color w:val="000000"/>
                <w:kern w:val="0"/>
                <w:sz w:val="18"/>
                <w:szCs w:val="18"/>
              </w:rPr>
            </w:pPr>
            <w:r>
              <w:rPr>
                <w:rFonts w:hint="eastAsia"/>
                <w:sz w:val="18"/>
                <w:szCs w:val="18"/>
              </w:rPr>
              <w:t>参加培训人数</w:t>
            </w:r>
          </w:p>
        </w:tc>
        <w:tc>
          <w:tcPr>
            <w:tcW w:w="1836" w:type="dxa"/>
            <w:noWrap w:val="0"/>
            <w:vAlign w:val="center"/>
          </w:tcPr>
          <w:p>
            <w:pPr>
              <w:widowControl/>
              <w:jc w:val="center"/>
              <w:rPr>
                <w:rFonts w:hint="eastAsia" w:ascii="宋体" w:hAnsi="宋体" w:cs="宋体"/>
                <w:color w:val="000000"/>
                <w:kern w:val="0"/>
                <w:sz w:val="18"/>
                <w:szCs w:val="18"/>
              </w:rPr>
            </w:pPr>
            <w:r>
              <w:rPr>
                <w:rFonts w:hint="eastAsia"/>
                <w:sz w:val="18"/>
                <w:szCs w:val="18"/>
              </w:rPr>
              <w:t>达到目标值得满分，否则不得分。</w:t>
            </w:r>
          </w:p>
        </w:tc>
        <w:tc>
          <w:tcPr>
            <w:tcW w:w="1126" w:type="dxa"/>
            <w:noWrap w:val="0"/>
            <w:vAlign w:val="center"/>
          </w:tcPr>
          <w:p>
            <w:pPr>
              <w:widowControl/>
              <w:jc w:val="center"/>
              <w:rPr>
                <w:rFonts w:hint="eastAsia" w:ascii="宋体" w:hAnsi="宋体" w:cs="宋体"/>
                <w:color w:val="000000"/>
                <w:kern w:val="0"/>
                <w:sz w:val="18"/>
                <w:szCs w:val="18"/>
              </w:rPr>
            </w:pPr>
            <w:r>
              <w:rPr>
                <w:rFonts w:hint="eastAsia"/>
                <w:sz w:val="18"/>
                <w:szCs w:val="18"/>
              </w:rPr>
              <w:t>年度计划培训人数</w:t>
            </w:r>
          </w:p>
        </w:tc>
        <w:tc>
          <w:tcPr>
            <w:tcW w:w="679" w:type="dxa"/>
            <w:noWrap w:val="0"/>
            <w:vAlign w:val="center"/>
          </w:tcPr>
          <w:p>
            <w:pPr>
              <w:widowControl/>
              <w:jc w:val="center"/>
              <w:rPr>
                <w:rFonts w:hint="eastAsia" w:ascii="宋体" w:hAnsi="宋体" w:cs="宋体"/>
                <w:kern w:val="0"/>
                <w:sz w:val="18"/>
                <w:szCs w:val="18"/>
              </w:rPr>
            </w:pPr>
            <w:r>
              <w:rPr>
                <w:rFonts w:hint="eastAsia"/>
                <w:sz w:val="18"/>
                <w:szCs w:val="18"/>
              </w:rPr>
              <w:t>≥</w:t>
            </w:r>
          </w:p>
        </w:tc>
        <w:tc>
          <w:tcPr>
            <w:tcW w:w="581" w:type="dxa"/>
            <w:noWrap w:val="0"/>
            <w:vAlign w:val="center"/>
          </w:tcPr>
          <w:p>
            <w:pPr>
              <w:widowControl/>
              <w:jc w:val="center"/>
              <w:rPr>
                <w:rFonts w:hint="eastAsia" w:ascii="宋体" w:hAnsi="宋体" w:cs="宋体"/>
                <w:kern w:val="0"/>
                <w:sz w:val="18"/>
                <w:szCs w:val="18"/>
              </w:rPr>
            </w:pPr>
            <w:r>
              <w:rPr>
                <w:rFonts w:hint="eastAsia"/>
                <w:sz w:val="18"/>
                <w:szCs w:val="18"/>
              </w:rPr>
              <w:t>35</w:t>
            </w:r>
          </w:p>
        </w:tc>
        <w:tc>
          <w:tcPr>
            <w:tcW w:w="500" w:type="dxa"/>
            <w:noWrap w:val="0"/>
            <w:vAlign w:val="center"/>
          </w:tcPr>
          <w:p>
            <w:pPr>
              <w:widowControl/>
              <w:jc w:val="center"/>
              <w:rPr>
                <w:rFonts w:hint="eastAsia" w:ascii="宋体" w:hAnsi="宋体" w:cs="宋体"/>
                <w:kern w:val="0"/>
                <w:sz w:val="18"/>
                <w:szCs w:val="18"/>
              </w:rPr>
            </w:pPr>
            <w:r>
              <w:rPr>
                <w:rFonts w:hint="eastAsia"/>
                <w:sz w:val="18"/>
                <w:szCs w:val="18"/>
              </w:rPr>
              <w:t>人</w:t>
            </w:r>
          </w:p>
        </w:tc>
        <w:tc>
          <w:tcPr>
            <w:tcW w:w="698" w:type="dxa"/>
            <w:noWrap w:val="0"/>
            <w:vAlign w:val="center"/>
          </w:tcPr>
          <w:p>
            <w:pPr>
              <w:widowControl/>
              <w:jc w:val="center"/>
              <w:rPr>
                <w:rFonts w:hint="eastAsia" w:ascii="宋体" w:hAnsi="宋体" w:cs="宋体"/>
                <w:kern w:val="0"/>
                <w:sz w:val="18"/>
                <w:szCs w:val="18"/>
              </w:rPr>
            </w:pPr>
            <w:r>
              <w:rPr>
                <w:rFonts w:hint="eastAsia"/>
                <w:sz w:val="18"/>
                <w:szCs w:val="18"/>
              </w:rPr>
              <w:t>项目实施计划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43" w:type="dxa"/>
            <w:vMerge w:val="continue"/>
            <w:noWrap w:val="0"/>
            <w:vAlign w:val="center"/>
          </w:tcPr>
          <w:p>
            <w:pPr>
              <w:widowControl/>
              <w:jc w:val="center"/>
              <w:rPr>
                <w:rFonts w:hint="eastAsia" w:ascii="宋体" w:hAnsi="宋体" w:cs="宋体"/>
                <w:color w:val="000000"/>
                <w:kern w:val="0"/>
                <w:sz w:val="22"/>
              </w:rPr>
            </w:pPr>
          </w:p>
        </w:tc>
        <w:tc>
          <w:tcPr>
            <w:tcW w:w="989" w:type="dxa"/>
            <w:vMerge w:val="continue"/>
            <w:noWrap w:val="0"/>
            <w:vAlign w:val="center"/>
          </w:tcPr>
          <w:p>
            <w:pPr>
              <w:widowControl/>
              <w:jc w:val="center"/>
              <w:rPr>
                <w:rFonts w:hint="eastAsia" w:ascii="宋体" w:hAnsi="宋体" w:cs="宋体"/>
                <w:color w:val="000000"/>
                <w:kern w:val="0"/>
                <w:sz w:val="22"/>
              </w:rPr>
            </w:pPr>
          </w:p>
        </w:tc>
        <w:tc>
          <w:tcPr>
            <w:tcW w:w="848" w:type="dxa"/>
            <w:noWrap w:val="0"/>
            <w:vAlign w:val="center"/>
          </w:tcPr>
          <w:p>
            <w:pPr>
              <w:widowControl/>
              <w:jc w:val="center"/>
              <w:rPr>
                <w:rFonts w:hint="eastAsia"/>
                <w:sz w:val="18"/>
                <w:szCs w:val="18"/>
              </w:rPr>
            </w:pPr>
            <w:r>
              <w:rPr>
                <w:rFonts w:hint="eastAsia"/>
                <w:sz w:val="18"/>
                <w:szCs w:val="18"/>
              </w:rPr>
              <w:t>租赁面积</w:t>
            </w:r>
          </w:p>
        </w:tc>
        <w:tc>
          <w:tcPr>
            <w:tcW w:w="1836" w:type="dxa"/>
            <w:noWrap w:val="0"/>
            <w:vAlign w:val="center"/>
          </w:tcPr>
          <w:p>
            <w:pPr>
              <w:widowControl/>
              <w:jc w:val="center"/>
              <w:rPr>
                <w:rFonts w:hint="eastAsia"/>
                <w:sz w:val="18"/>
                <w:szCs w:val="18"/>
              </w:rPr>
            </w:pPr>
            <w:r>
              <w:rPr>
                <w:rFonts w:hint="eastAsia"/>
                <w:sz w:val="18"/>
                <w:szCs w:val="18"/>
              </w:rPr>
              <w:t>达到目标值得满分，否则不得分。</w:t>
            </w:r>
          </w:p>
        </w:tc>
        <w:tc>
          <w:tcPr>
            <w:tcW w:w="1126" w:type="dxa"/>
            <w:noWrap w:val="0"/>
            <w:vAlign w:val="center"/>
          </w:tcPr>
          <w:p>
            <w:pPr>
              <w:widowControl/>
              <w:jc w:val="center"/>
              <w:rPr>
                <w:rFonts w:hint="eastAsia"/>
                <w:sz w:val="18"/>
                <w:szCs w:val="18"/>
              </w:rPr>
            </w:pPr>
            <w:r>
              <w:rPr>
                <w:rFonts w:hint="eastAsia"/>
                <w:sz w:val="18"/>
                <w:szCs w:val="18"/>
              </w:rPr>
              <w:t>办公用房租赁面积</w:t>
            </w:r>
          </w:p>
        </w:tc>
        <w:tc>
          <w:tcPr>
            <w:tcW w:w="679" w:type="dxa"/>
            <w:noWrap w:val="0"/>
            <w:vAlign w:val="center"/>
          </w:tcPr>
          <w:p>
            <w:pPr>
              <w:widowControl/>
              <w:jc w:val="center"/>
              <w:rPr>
                <w:rFonts w:hint="eastAsia"/>
                <w:sz w:val="18"/>
                <w:szCs w:val="18"/>
              </w:rPr>
            </w:pPr>
            <w:r>
              <w:rPr>
                <w:rFonts w:hint="eastAsia"/>
                <w:sz w:val="18"/>
                <w:szCs w:val="18"/>
              </w:rPr>
              <w:t>=</w:t>
            </w:r>
          </w:p>
        </w:tc>
        <w:tc>
          <w:tcPr>
            <w:tcW w:w="581" w:type="dxa"/>
            <w:noWrap w:val="0"/>
            <w:vAlign w:val="center"/>
          </w:tcPr>
          <w:p>
            <w:pPr>
              <w:widowControl/>
              <w:jc w:val="center"/>
              <w:rPr>
                <w:rFonts w:hint="eastAsia"/>
                <w:sz w:val="18"/>
                <w:szCs w:val="18"/>
              </w:rPr>
            </w:pPr>
            <w:r>
              <w:rPr>
                <w:rFonts w:hint="eastAsia"/>
                <w:sz w:val="18"/>
                <w:szCs w:val="18"/>
              </w:rPr>
              <w:t>2105</w:t>
            </w:r>
          </w:p>
        </w:tc>
        <w:tc>
          <w:tcPr>
            <w:tcW w:w="500" w:type="dxa"/>
            <w:noWrap w:val="0"/>
            <w:vAlign w:val="center"/>
          </w:tcPr>
          <w:p>
            <w:pPr>
              <w:widowControl/>
              <w:jc w:val="center"/>
              <w:rPr>
                <w:rFonts w:hint="eastAsia"/>
                <w:sz w:val="18"/>
                <w:szCs w:val="18"/>
              </w:rPr>
            </w:pPr>
            <w:r>
              <w:rPr>
                <w:rFonts w:hint="eastAsia"/>
                <w:sz w:val="18"/>
                <w:szCs w:val="18"/>
              </w:rPr>
              <w:t>平方米</w:t>
            </w:r>
          </w:p>
        </w:tc>
        <w:tc>
          <w:tcPr>
            <w:tcW w:w="698" w:type="dxa"/>
            <w:noWrap w:val="0"/>
            <w:vAlign w:val="center"/>
          </w:tcPr>
          <w:p>
            <w:pPr>
              <w:widowControl/>
              <w:jc w:val="center"/>
              <w:rPr>
                <w:rFonts w:hint="eastAsia"/>
                <w:sz w:val="18"/>
                <w:szCs w:val="18"/>
              </w:rPr>
            </w:pPr>
            <w:r>
              <w:rPr>
                <w:rFonts w:hint="eastAsia"/>
                <w:sz w:val="18"/>
                <w:szCs w:val="18"/>
              </w:rPr>
              <w:t>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43" w:type="dxa"/>
            <w:vMerge w:val="continue"/>
            <w:noWrap w:val="0"/>
            <w:vAlign w:val="center"/>
          </w:tcPr>
          <w:p>
            <w:pPr>
              <w:widowControl/>
              <w:jc w:val="center"/>
              <w:rPr>
                <w:rFonts w:hint="eastAsia" w:ascii="宋体" w:hAnsi="宋体" w:cs="宋体"/>
                <w:color w:val="000000"/>
                <w:kern w:val="0"/>
                <w:sz w:val="22"/>
              </w:rPr>
            </w:pPr>
          </w:p>
        </w:tc>
        <w:tc>
          <w:tcPr>
            <w:tcW w:w="989" w:type="dxa"/>
            <w:vMerge w:val="continue"/>
            <w:noWrap w:val="0"/>
            <w:vAlign w:val="center"/>
          </w:tcPr>
          <w:p>
            <w:pPr>
              <w:widowControl/>
              <w:jc w:val="center"/>
              <w:rPr>
                <w:rFonts w:hint="eastAsia" w:ascii="宋体" w:hAnsi="宋体" w:cs="宋体"/>
                <w:color w:val="000000"/>
                <w:kern w:val="0"/>
                <w:sz w:val="22"/>
              </w:rPr>
            </w:pPr>
          </w:p>
        </w:tc>
        <w:tc>
          <w:tcPr>
            <w:tcW w:w="848" w:type="dxa"/>
            <w:noWrap w:val="0"/>
            <w:vAlign w:val="center"/>
          </w:tcPr>
          <w:p>
            <w:pPr>
              <w:widowControl/>
              <w:jc w:val="center"/>
              <w:rPr>
                <w:rFonts w:hint="eastAsia"/>
                <w:sz w:val="18"/>
                <w:szCs w:val="18"/>
              </w:rPr>
            </w:pPr>
            <w:r>
              <w:rPr>
                <w:rFonts w:hint="eastAsia"/>
                <w:sz w:val="18"/>
                <w:szCs w:val="18"/>
              </w:rPr>
              <w:t>聘请法律顾问的数量</w:t>
            </w:r>
          </w:p>
        </w:tc>
        <w:tc>
          <w:tcPr>
            <w:tcW w:w="1836" w:type="dxa"/>
            <w:noWrap w:val="0"/>
            <w:vAlign w:val="center"/>
          </w:tcPr>
          <w:p>
            <w:pPr>
              <w:widowControl/>
              <w:jc w:val="center"/>
              <w:rPr>
                <w:rFonts w:hint="eastAsia"/>
                <w:sz w:val="18"/>
                <w:szCs w:val="18"/>
              </w:rPr>
            </w:pPr>
            <w:r>
              <w:rPr>
                <w:rFonts w:hint="eastAsia"/>
                <w:sz w:val="18"/>
                <w:szCs w:val="18"/>
              </w:rPr>
              <w:t>完成目标值得满分，未完成目标值不得分。</w:t>
            </w:r>
          </w:p>
        </w:tc>
        <w:tc>
          <w:tcPr>
            <w:tcW w:w="1126" w:type="dxa"/>
            <w:noWrap w:val="0"/>
            <w:vAlign w:val="center"/>
          </w:tcPr>
          <w:p>
            <w:pPr>
              <w:widowControl/>
              <w:jc w:val="center"/>
              <w:rPr>
                <w:rFonts w:hint="eastAsia"/>
                <w:sz w:val="18"/>
                <w:szCs w:val="18"/>
              </w:rPr>
            </w:pPr>
            <w:r>
              <w:rPr>
                <w:rFonts w:hint="eastAsia"/>
                <w:sz w:val="18"/>
                <w:szCs w:val="18"/>
              </w:rPr>
              <w:t>通过聘请两位法律顾问解决审计人员在执法方面遇到的法律问题</w:t>
            </w:r>
          </w:p>
        </w:tc>
        <w:tc>
          <w:tcPr>
            <w:tcW w:w="679" w:type="dxa"/>
            <w:noWrap w:val="0"/>
            <w:vAlign w:val="center"/>
          </w:tcPr>
          <w:p>
            <w:pPr>
              <w:widowControl/>
              <w:jc w:val="center"/>
              <w:rPr>
                <w:rFonts w:hint="eastAsia"/>
                <w:sz w:val="18"/>
                <w:szCs w:val="18"/>
              </w:rPr>
            </w:pPr>
            <w:r>
              <w:rPr>
                <w:rFonts w:hint="eastAsia"/>
                <w:sz w:val="18"/>
                <w:szCs w:val="18"/>
              </w:rPr>
              <w:t>=</w:t>
            </w:r>
          </w:p>
        </w:tc>
        <w:tc>
          <w:tcPr>
            <w:tcW w:w="581" w:type="dxa"/>
            <w:noWrap w:val="0"/>
            <w:vAlign w:val="center"/>
          </w:tcPr>
          <w:p>
            <w:pPr>
              <w:widowControl/>
              <w:jc w:val="center"/>
              <w:rPr>
                <w:rFonts w:hint="eastAsia"/>
                <w:sz w:val="18"/>
                <w:szCs w:val="18"/>
              </w:rPr>
            </w:pPr>
            <w:r>
              <w:rPr>
                <w:rFonts w:hint="eastAsia"/>
                <w:sz w:val="18"/>
                <w:szCs w:val="18"/>
              </w:rPr>
              <w:t>2</w:t>
            </w:r>
          </w:p>
        </w:tc>
        <w:tc>
          <w:tcPr>
            <w:tcW w:w="500" w:type="dxa"/>
            <w:noWrap w:val="0"/>
            <w:vAlign w:val="center"/>
          </w:tcPr>
          <w:p>
            <w:pPr>
              <w:widowControl/>
              <w:jc w:val="center"/>
              <w:rPr>
                <w:rFonts w:hint="eastAsia"/>
                <w:sz w:val="18"/>
                <w:szCs w:val="18"/>
              </w:rPr>
            </w:pPr>
            <w:r>
              <w:rPr>
                <w:rFonts w:hint="eastAsia"/>
                <w:sz w:val="18"/>
                <w:szCs w:val="18"/>
              </w:rPr>
              <w:t>位</w:t>
            </w:r>
          </w:p>
        </w:tc>
        <w:tc>
          <w:tcPr>
            <w:tcW w:w="698" w:type="dxa"/>
            <w:noWrap w:val="0"/>
            <w:vAlign w:val="center"/>
          </w:tcPr>
          <w:p>
            <w:pPr>
              <w:widowControl/>
              <w:jc w:val="center"/>
              <w:rPr>
                <w:rFonts w:hint="eastAsia"/>
                <w:sz w:val="18"/>
                <w:szCs w:val="18"/>
              </w:rPr>
            </w:pPr>
            <w:r>
              <w:rPr>
                <w:rFonts w:hint="eastAsia"/>
                <w:sz w:val="18"/>
                <w:szCs w:val="18"/>
              </w:rPr>
              <w:t>聘请法律顾问的数量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43" w:type="dxa"/>
            <w:vMerge w:val="continue"/>
            <w:noWrap w:val="0"/>
            <w:vAlign w:val="center"/>
          </w:tcPr>
          <w:p>
            <w:pPr>
              <w:widowControl/>
              <w:jc w:val="left"/>
              <w:rPr>
                <w:rFonts w:ascii="宋体" w:hAnsi="宋体" w:cs="宋体"/>
                <w:color w:val="000000"/>
                <w:kern w:val="0"/>
                <w:sz w:val="22"/>
              </w:rPr>
            </w:pPr>
          </w:p>
        </w:tc>
        <w:tc>
          <w:tcPr>
            <w:tcW w:w="989" w:type="dxa"/>
            <w:vMerge w:val="restart"/>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质量</w:t>
            </w:r>
          </w:p>
        </w:tc>
        <w:tc>
          <w:tcPr>
            <w:tcW w:w="848"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审计报告完成质量</w:t>
            </w:r>
          </w:p>
        </w:tc>
        <w:tc>
          <w:tcPr>
            <w:tcW w:w="1836"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完成全部审计报告得满分，每减少指标值的5%，扣该指标分值的10%，完成率低于60%得0分。</w:t>
            </w:r>
          </w:p>
        </w:tc>
        <w:tc>
          <w:tcPr>
            <w:tcW w:w="1126"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项目完成数量</w:t>
            </w:r>
          </w:p>
        </w:tc>
        <w:tc>
          <w:tcPr>
            <w:tcW w:w="679"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581"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100</w:t>
            </w:r>
          </w:p>
        </w:tc>
        <w:tc>
          <w:tcPr>
            <w:tcW w:w="500"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69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年度项目预算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43" w:type="dxa"/>
            <w:vMerge w:val="continue"/>
            <w:noWrap w:val="0"/>
            <w:vAlign w:val="center"/>
          </w:tcPr>
          <w:p>
            <w:pPr>
              <w:widowControl/>
              <w:jc w:val="left"/>
              <w:rPr>
                <w:rFonts w:ascii="宋体" w:hAnsi="宋体" w:cs="宋体"/>
                <w:color w:val="000000"/>
                <w:kern w:val="0"/>
                <w:sz w:val="22"/>
              </w:rPr>
            </w:pPr>
          </w:p>
        </w:tc>
        <w:tc>
          <w:tcPr>
            <w:tcW w:w="989" w:type="dxa"/>
            <w:vMerge w:val="continue"/>
            <w:noWrap w:val="0"/>
            <w:vAlign w:val="center"/>
          </w:tcPr>
          <w:p>
            <w:pPr>
              <w:widowControl/>
              <w:jc w:val="center"/>
              <w:rPr>
                <w:rFonts w:hint="eastAsia" w:ascii="宋体" w:hAnsi="宋体" w:cs="宋体"/>
                <w:color w:val="000000"/>
                <w:kern w:val="0"/>
                <w:sz w:val="22"/>
              </w:rPr>
            </w:pPr>
          </w:p>
        </w:tc>
        <w:tc>
          <w:tcPr>
            <w:tcW w:w="848" w:type="dxa"/>
            <w:noWrap w:val="0"/>
            <w:vAlign w:val="center"/>
          </w:tcPr>
          <w:p>
            <w:pPr>
              <w:widowControl/>
              <w:jc w:val="center"/>
              <w:rPr>
                <w:rFonts w:hint="eastAsia" w:ascii="宋体" w:hAnsi="宋体" w:cs="宋体"/>
                <w:color w:val="000000"/>
                <w:kern w:val="0"/>
                <w:sz w:val="18"/>
                <w:szCs w:val="18"/>
              </w:rPr>
            </w:pPr>
            <w:r>
              <w:rPr>
                <w:rFonts w:hint="eastAsia"/>
                <w:sz w:val="18"/>
                <w:szCs w:val="18"/>
              </w:rPr>
              <w:t>培训合格率</w:t>
            </w:r>
          </w:p>
        </w:tc>
        <w:tc>
          <w:tcPr>
            <w:tcW w:w="1836"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达到目标值得满分，目标值每减少1%，扣减1%权重分，目标值低于60%不得分。</w:t>
            </w:r>
          </w:p>
        </w:tc>
        <w:tc>
          <w:tcPr>
            <w:tcW w:w="1126" w:type="dxa"/>
            <w:noWrap w:val="0"/>
            <w:vAlign w:val="center"/>
          </w:tcPr>
          <w:p>
            <w:pPr>
              <w:widowControl/>
              <w:jc w:val="center"/>
              <w:rPr>
                <w:rFonts w:hint="eastAsia" w:ascii="宋体" w:hAnsi="宋体" w:cs="宋体"/>
                <w:color w:val="000000"/>
                <w:kern w:val="0"/>
                <w:sz w:val="18"/>
                <w:szCs w:val="18"/>
              </w:rPr>
            </w:pPr>
            <w:r>
              <w:rPr>
                <w:rFonts w:hint="eastAsia"/>
                <w:sz w:val="18"/>
                <w:szCs w:val="18"/>
              </w:rPr>
              <w:t>合格人员占参训人员的比例</w:t>
            </w:r>
          </w:p>
        </w:tc>
        <w:tc>
          <w:tcPr>
            <w:tcW w:w="679" w:type="dxa"/>
            <w:noWrap w:val="0"/>
            <w:vAlign w:val="center"/>
          </w:tcPr>
          <w:p>
            <w:pPr>
              <w:widowControl/>
              <w:jc w:val="center"/>
              <w:rPr>
                <w:rFonts w:hint="eastAsia" w:ascii="宋体" w:hAnsi="宋体" w:cs="宋体"/>
                <w:kern w:val="0"/>
                <w:sz w:val="18"/>
                <w:szCs w:val="18"/>
              </w:rPr>
            </w:pPr>
            <w:r>
              <w:rPr>
                <w:rFonts w:hint="eastAsia"/>
                <w:sz w:val="18"/>
                <w:szCs w:val="18"/>
              </w:rPr>
              <w:t>=</w:t>
            </w:r>
          </w:p>
        </w:tc>
        <w:tc>
          <w:tcPr>
            <w:tcW w:w="581" w:type="dxa"/>
            <w:noWrap w:val="0"/>
            <w:vAlign w:val="center"/>
          </w:tcPr>
          <w:p>
            <w:pPr>
              <w:widowControl/>
              <w:jc w:val="center"/>
              <w:rPr>
                <w:rFonts w:hint="eastAsia" w:ascii="宋体" w:hAnsi="宋体" w:cs="宋体"/>
                <w:kern w:val="0"/>
                <w:sz w:val="18"/>
                <w:szCs w:val="18"/>
              </w:rPr>
            </w:pPr>
            <w:r>
              <w:rPr>
                <w:rFonts w:hint="eastAsia"/>
                <w:sz w:val="18"/>
                <w:szCs w:val="18"/>
              </w:rPr>
              <w:t>100</w:t>
            </w:r>
          </w:p>
        </w:tc>
        <w:tc>
          <w:tcPr>
            <w:tcW w:w="500" w:type="dxa"/>
            <w:noWrap w:val="0"/>
            <w:vAlign w:val="center"/>
          </w:tcPr>
          <w:p>
            <w:pPr>
              <w:widowControl/>
              <w:jc w:val="center"/>
              <w:rPr>
                <w:rFonts w:hint="eastAsia" w:ascii="宋体" w:hAnsi="宋体" w:cs="宋体"/>
                <w:kern w:val="0"/>
                <w:sz w:val="18"/>
                <w:szCs w:val="18"/>
              </w:rPr>
            </w:pPr>
            <w:r>
              <w:rPr>
                <w:rFonts w:hint="eastAsia"/>
                <w:sz w:val="18"/>
                <w:szCs w:val="18"/>
              </w:rPr>
              <w:t>%</w:t>
            </w:r>
          </w:p>
        </w:tc>
        <w:tc>
          <w:tcPr>
            <w:tcW w:w="698" w:type="dxa"/>
            <w:noWrap w:val="0"/>
            <w:vAlign w:val="center"/>
          </w:tcPr>
          <w:p>
            <w:pPr>
              <w:widowControl/>
              <w:jc w:val="center"/>
              <w:rPr>
                <w:rFonts w:hint="eastAsia" w:ascii="宋体" w:hAnsi="宋体" w:cs="宋体"/>
                <w:kern w:val="0"/>
                <w:sz w:val="18"/>
                <w:szCs w:val="18"/>
              </w:rPr>
            </w:pPr>
            <w:r>
              <w:rPr>
                <w:rFonts w:hint="eastAsia"/>
                <w:sz w:val="18"/>
                <w:szCs w:val="18"/>
              </w:rPr>
              <w:t>结业报告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43" w:type="dxa"/>
            <w:vMerge w:val="continue"/>
            <w:noWrap w:val="0"/>
            <w:vAlign w:val="center"/>
          </w:tcPr>
          <w:p>
            <w:pPr>
              <w:widowControl/>
              <w:jc w:val="left"/>
              <w:rPr>
                <w:rFonts w:ascii="宋体" w:hAnsi="宋体" w:cs="宋体"/>
                <w:color w:val="000000"/>
                <w:kern w:val="0"/>
                <w:sz w:val="22"/>
              </w:rPr>
            </w:pPr>
          </w:p>
        </w:tc>
        <w:tc>
          <w:tcPr>
            <w:tcW w:w="989" w:type="dxa"/>
            <w:vMerge w:val="continue"/>
            <w:noWrap w:val="0"/>
            <w:vAlign w:val="center"/>
          </w:tcPr>
          <w:p>
            <w:pPr>
              <w:widowControl/>
              <w:jc w:val="center"/>
              <w:rPr>
                <w:rFonts w:hint="eastAsia" w:ascii="宋体" w:hAnsi="宋体" w:cs="宋体"/>
                <w:color w:val="000000"/>
                <w:kern w:val="0"/>
                <w:sz w:val="22"/>
              </w:rPr>
            </w:pPr>
          </w:p>
        </w:tc>
        <w:tc>
          <w:tcPr>
            <w:tcW w:w="848" w:type="dxa"/>
            <w:noWrap w:val="0"/>
            <w:vAlign w:val="center"/>
          </w:tcPr>
          <w:p>
            <w:pPr>
              <w:widowControl/>
              <w:jc w:val="center"/>
              <w:rPr>
                <w:rFonts w:hint="eastAsia"/>
                <w:sz w:val="18"/>
                <w:szCs w:val="18"/>
              </w:rPr>
            </w:pPr>
            <w:r>
              <w:rPr>
                <w:rFonts w:hint="eastAsia"/>
                <w:sz w:val="18"/>
                <w:szCs w:val="18"/>
              </w:rPr>
              <w:t>办公用房质量合格率</w:t>
            </w:r>
          </w:p>
        </w:tc>
        <w:tc>
          <w:tcPr>
            <w:tcW w:w="1836" w:type="dxa"/>
            <w:noWrap w:val="0"/>
            <w:vAlign w:val="center"/>
          </w:tcPr>
          <w:p>
            <w:pPr>
              <w:widowControl/>
              <w:jc w:val="center"/>
              <w:rPr>
                <w:rFonts w:hint="eastAsia"/>
                <w:sz w:val="18"/>
                <w:szCs w:val="18"/>
              </w:rPr>
            </w:pPr>
            <w:r>
              <w:rPr>
                <w:rFonts w:hint="eastAsia"/>
                <w:sz w:val="18"/>
                <w:szCs w:val="18"/>
              </w:rPr>
              <w:t>达到目标值得满分，目标值每减少1%，扣减1%权重分，低于目标值60%不得分。</w:t>
            </w:r>
          </w:p>
        </w:tc>
        <w:tc>
          <w:tcPr>
            <w:tcW w:w="1126" w:type="dxa"/>
            <w:noWrap w:val="0"/>
            <w:vAlign w:val="center"/>
          </w:tcPr>
          <w:p>
            <w:pPr>
              <w:widowControl/>
              <w:jc w:val="center"/>
              <w:rPr>
                <w:rFonts w:hint="eastAsia"/>
                <w:sz w:val="18"/>
                <w:szCs w:val="18"/>
              </w:rPr>
            </w:pPr>
            <w:r>
              <w:rPr>
                <w:rFonts w:hint="eastAsia"/>
                <w:sz w:val="18"/>
                <w:szCs w:val="18"/>
              </w:rPr>
              <w:t>租赁办公用房质量情况</w:t>
            </w:r>
          </w:p>
        </w:tc>
        <w:tc>
          <w:tcPr>
            <w:tcW w:w="679" w:type="dxa"/>
            <w:noWrap w:val="0"/>
            <w:vAlign w:val="center"/>
          </w:tcPr>
          <w:p>
            <w:pPr>
              <w:widowControl/>
              <w:jc w:val="center"/>
              <w:rPr>
                <w:rFonts w:hint="eastAsia"/>
                <w:sz w:val="18"/>
                <w:szCs w:val="18"/>
              </w:rPr>
            </w:pPr>
            <w:r>
              <w:rPr>
                <w:rFonts w:hint="eastAsia"/>
                <w:sz w:val="18"/>
                <w:szCs w:val="18"/>
              </w:rPr>
              <w:t>=</w:t>
            </w:r>
          </w:p>
        </w:tc>
        <w:tc>
          <w:tcPr>
            <w:tcW w:w="581" w:type="dxa"/>
            <w:noWrap w:val="0"/>
            <w:vAlign w:val="center"/>
          </w:tcPr>
          <w:p>
            <w:pPr>
              <w:widowControl/>
              <w:jc w:val="center"/>
              <w:rPr>
                <w:rFonts w:hint="eastAsia"/>
                <w:sz w:val="18"/>
                <w:szCs w:val="18"/>
              </w:rPr>
            </w:pPr>
            <w:r>
              <w:rPr>
                <w:rFonts w:hint="eastAsia"/>
                <w:sz w:val="18"/>
                <w:szCs w:val="18"/>
              </w:rPr>
              <w:t>100</w:t>
            </w:r>
          </w:p>
        </w:tc>
        <w:tc>
          <w:tcPr>
            <w:tcW w:w="500" w:type="dxa"/>
            <w:noWrap w:val="0"/>
            <w:vAlign w:val="center"/>
          </w:tcPr>
          <w:p>
            <w:pPr>
              <w:widowControl/>
              <w:jc w:val="center"/>
              <w:rPr>
                <w:rFonts w:hint="eastAsia"/>
                <w:sz w:val="18"/>
                <w:szCs w:val="18"/>
              </w:rPr>
            </w:pPr>
            <w:r>
              <w:rPr>
                <w:rFonts w:hint="eastAsia"/>
                <w:sz w:val="18"/>
                <w:szCs w:val="18"/>
              </w:rPr>
              <w:t>%</w:t>
            </w:r>
          </w:p>
        </w:tc>
        <w:tc>
          <w:tcPr>
            <w:tcW w:w="698" w:type="dxa"/>
            <w:noWrap w:val="0"/>
            <w:vAlign w:val="center"/>
          </w:tcPr>
          <w:p>
            <w:pPr>
              <w:widowControl/>
              <w:jc w:val="center"/>
              <w:rPr>
                <w:rFonts w:hint="eastAsia"/>
                <w:sz w:val="18"/>
                <w:szCs w:val="18"/>
              </w:rPr>
            </w:pPr>
            <w:r>
              <w:rPr>
                <w:rFonts w:hint="eastAsia"/>
                <w:sz w:val="18"/>
                <w:szCs w:val="18"/>
              </w:rPr>
              <w:t>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43" w:type="dxa"/>
            <w:vMerge w:val="continue"/>
            <w:noWrap w:val="0"/>
            <w:vAlign w:val="center"/>
          </w:tcPr>
          <w:p>
            <w:pPr>
              <w:widowControl/>
              <w:jc w:val="left"/>
              <w:rPr>
                <w:rFonts w:ascii="宋体" w:hAnsi="宋体" w:cs="宋体"/>
                <w:color w:val="000000"/>
                <w:kern w:val="0"/>
                <w:sz w:val="22"/>
              </w:rPr>
            </w:pPr>
          </w:p>
        </w:tc>
        <w:tc>
          <w:tcPr>
            <w:tcW w:w="989" w:type="dxa"/>
            <w:vMerge w:val="continue"/>
            <w:noWrap w:val="0"/>
            <w:vAlign w:val="center"/>
          </w:tcPr>
          <w:p>
            <w:pPr>
              <w:widowControl/>
              <w:jc w:val="center"/>
              <w:rPr>
                <w:rFonts w:hint="eastAsia" w:ascii="宋体" w:hAnsi="宋体" w:cs="宋体"/>
                <w:color w:val="000000"/>
                <w:kern w:val="0"/>
                <w:sz w:val="22"/>
              </w:rPr>
            </w:pPr>
          </w:p>
        </w:tc>
        <w:tc>
          <w:tcPr>
            <w:tcW w:w="848" w:type="dxa"/>
            <w:noWrap w:val="0"/>
            <w:vAlign w:val="center"/>
          </w:tcPr>
          <w:p>
            <w:pPr>
              <w:widowControl/>
              <w:jc w:val="center"/>
              <w:rPr>
                <w:rFonts w:hint="eastAsia"/>
                <w:sz w:val="18"/>
                <w:szCs w:val="18"/>
              </w:rPr>
            </w:pPr>
            <w:r>
              <w:rPr>
                <w:rFonts w:hint="eastAsia"/>
                <w:sz w:val="18"/>
                <w:szCs w:val="18"/>
              </w:rPr>
              <w:t>法律顾问资质合格率</w:t>
            </w:r>
          </w:p>
        </w:tc>
        <w:tc>
          <w:tcPr>
            <w:tcW w:w="1836" w:type="dxa"/>
            <w:noWrap w:val="0"/>
            <w:vAlign w:val="center"/>
          </w:tcPr>
          <w:p>
            <w:pPr>
              <w:widowControl/>
              <w:jc w:val="center"/>
              <w:rPr>
                <w:rFonts w:hint="eastAsia"/>
                <w:sz w:val="18"/>
                <w:szCs w:val="18"/>
              </w:rPr>
            </w:pPr>
            <w:r>
              <w:rPr>
                <w:rFonts w:hint="eastAsia"/>
                <w:sz w:val="18"/>
                <w:szCs w:val="18"/>
              </w:rPr>
              <w:t>达到目标值得满分，未完成目标值不得分</w:t>
            </w:r>
          </w:p>
        </w:tc>
        <w:tc>
          <w:tcPr>
            <w:tcW w:w="1126" w:type="dxa"/>
            <w:noWrap w:val="0"/>
            <w:vAlign w:val="center"/>
          </w:tcPr>
          <w:p>
            <w:pPr>
              <w:widowControl/>
              <w:jc w:val="center"/>
              <w:rPr>
                <w:rFonts w:hint="eastAsia"/>
                <w:sz w:val="18"/>
                <w:szCs w:val="18"/>
              </w:rPr>
            </w:pPr>
            <w:r>
              <w:rPr>
                <w:rFonts w:hint="eastAsia"/>
                <w:sz w:val="18"/>
                <w:szCs w:val="18"/>
              </w:rPr>
              <w:t>。法律顾问的资质是否合格有效</w:t>
            </w:r>
          </w:p>
        </w:tc>
        <w:tc>
          <w:tcPr>
            <w:tcW w:w="679" w:type="dxa"/>
            <w:noWrap w:val="0"/>
            <w:vAlign w:val="center"/>
          </w:tcPr>
          <w:p>
            <w:pPr>
              <w:widowControl/>
              <w:jc w:val="center"/>
              <w:rPr>
                <w:rFonts w:hint="eastAsia"/>
                <w:sz w:val="18"/>
                <w:szCs w:val="18"/>
              </w:rPr>
            </w:pPr>
            <w:r>
              <w:rPr>
                <w:rFonts w:hint="eastAsia"/>
                <w:sz w:val="18"/>
                <w:szCs w:val="18"/>
              </w:rPr>
              <w:t>=</w:t>
            </w:r>
          </w:p>
        </w:tc>
        <w:tc>
          <w:tcPr>
            <w:tcW w:w="581" w:type="dxa"/>
            <w:noWrap w:val="0"/>
            <w:vAlign w:val="center"/>
          </w:tcPr>
          <w:p>
            <w:pPr>
              <w:widowControl/>
              <w:jc w:val="center"/>
              <w:rPr>
                <w:rFonts w:hint="eastAsia"/>
                <w:sz w:val="18"/>
                <w:szCs w:val="18"/>
              </w:rPr>
            </w:pPr>
            <w:r>
              <w:rPr>
                <w:rFonts w:hint="eastAsia"/>
                <w:sz w:val="18"/>
                <w:szCs w:val="18"/>
              </w:rPr>
              <w:t>100</w:t>
            </w:r>
          </w:p>
        </w:tc>
        <w:tc>
          <w:tcPr>
            <w:tcW w:w="500" w:type="dxa"/>
            <w:noWrap w:val="0"/>
            <w:vAlign w:val="center"/>
          </w:tcPr>
          <w:p>
            <w:pPr>
              <w:widowControl/>
              <w:jc w:val="center"/>
              <w:rPr>
                <w:rFonts w:hint="eastAsia"/>
                <w:sz w:val="18"/>
                <w:szCs w:val="18"/>
              </w:rPr>
            </w:pPr>
            <w:r>
              <w:rPr>
                <w:rFonts w:hint="eastAsia"/>
                <w:sz w:val="18"/>
                <w:szCs w:val="18"/>
              </w:rPr>
              <w:t>%</w:t>
            </w:r>
          </w:p>
        </w:tc>
        <w:tc>
          <w:tcPr>
            <w:tcW w:w="698" w:type="dxa"/>
            <w:noWrap w:val="0"/>
            <w:vAlign w:val="center"/>
          </w:tcPr>
          <w:p>
            <w:pPr>
              <w:widowControl/>
              <w:jc w:val="center"/>
              <w:rPr>
                <w:rFonts w:hint="eastAsia"/>
                <w:sz w:val="18"/>
                <w:szCs w:val="18"/>
              </w:rPr>
            </w:pPr>
            <w:r>
              <w:rPr>
                <w:rFonts w:hint="eastAsia"/>
                <w:sz w:val="18"/>
                <w:szCs w:val="18"/>
              </w:rPr>
              <w:t>法律顾问资质合格率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43" w:type="dxa"/>
            <w:vMerge w:val="continue"/>
            <w:noWrap w:val="0"/>
            <w:vAlign w:val="center"/>
          </w:tcPr>
          <w:p>
            <w:pPr>
              <w:widowControl/>
              <w:jc w:val="left"/>
              <w:rPr>
                <w:rFonts w:ascii="宋体" w:hAnsi="宋体" w:cs="宋体"/>
                <w:color w:val="000000"/>
                <w:kern w:val="0"/>
                <w:sz w:val="22"/>
              </w:rPr>
            </w:pPr>
          </w:p>
        </w:tc>
        <w:tc>
          <w:tcPr>
            <w:tcW w:w="989" w:type="dxa"/>
            <w:vMerge w:val="restart"/>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时效</w:t>
            </w:r>
          </w:p>
        </w:tc>
        <w:tc>
          <w:tcPr>
            <w:tcW w:w="848"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审计项目及时完成</w:t>
            </w:r>
          </w:p>
        </w:tc>
        <w:tc>
          <w:tcPr>
            <w:tcW w:w="1836"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及时率≥90%时得权重分的100%；每降低5%，扣权重分的10%，低于60%的，得0分。</w:t>
            </w:r>
          </w:p>
        </w:tc>
        <w:tc>
          <w:tcPr>
            <w:tcW w:w="1126"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实际完成时间/计划完成时间的比例</w:t>
            </w:r>
          </w:p>
        </w:tc>
        <w:tc>
          <w:tcPr>
            <w:tcW w:w="679"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581"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90</w:t>
            </w:r>
          </w:p>
        </w:tc>
        <w:tc>
          <w:tcPr>
            <w:tcW w:w="500"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69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双方签订的合同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843" w:type="dxa"/>
            <w:vMerge w:val="continue"/>
            <w:noWrap w:val="0"/>
            <w:vAlign w:val="center"/>
          </w:tcPr>
          <w:p>
            <w:pPr>
              <w:widowControl/>
              <w:jc w:val="left"/>
              <w:rPr>
                <w:rFonts w:ascii="宋体" w:hAnsi="宋体" w:cs="宋体"/>
                <w:color w:val="000000"/>
                <w:kern w:val="0"/>
                <w:sz w:val="22"/>
              </w:rPr>
            </w:pPr>
          </w:p>
        </w:tc>
        <w:tc>
          <w:tcPr>
            <w:tcW w:w="989" w:type="dxa"/>
            <w:vMerge w:val="continue"/>
            <w:noWrap w:val="0"/>
            <w:vAlign w:val="center"/>
          </w:tcPr>
          <w:p>
            <w:pPr>
              <w:widowControl/>
              <w:jc w:val="center"/>
              <w:rPr>
                <w:rFonts w:hint="eastAsia" w:ascii="宋体" w:hAnsi="宋体" w:cs="宋体"/>
                <w:color w:val="000000"/>
                <w:kern w:val="0"/>
                <w:sz w:val="22"/>
              </w:rPr>
            </w:pPr>
          </w:p>
        </w:tc>
        <w:tc>
          <w:tcPr>
            <w:tcW w:w="848" w:type="dxa"/>
            <w:noWrap w:val="0"/>
            <w:vAlign w:val="center"/>
          </w:tcPr>
          <w:p>
            <w:pPr>
              <w:widowControl/>
              <w:jc w:val="center"/>
              <w:rPr>
                <w:rFonts w:hint="eastAsia" w:ascii="宋体" w:hAnsi="宋体" w:cs="宋体"/>
                <w:color w:val="000000"/>
                <w:kern w:val="0"/>
                <w:sz w:val="18"/>
                <w:szCs w:val="18"/>
              </w:rPr>
            </w:pPr>
            <w:r>
              <w:rPr>
                <w:rFonts w:hint="eastAsia"/>
                <w:sz w:val="18"/>
                <w:szCs w:val="18"/>
              </w:rPr>
              <w:t>培训时间</w:t>
            </w:r>
          </w:p>
        </w:tc>
        <w:tc>
          <w:tcPr>
            <w:tcW w:w="1836" w:type="dxa"/>
            <w:noWrap w:val="0"/>
            <w:vAlign w:val="center"/>
          </w:tcPr>
          <w:p>
            <w:pPr>
              <w:widowControl/>
              <w:jc w:val="center"/>
              <w:rPr>
                <w:rFonts w:hint="eastAsia" w:ascii="宋体" w:hAnsi="宋体" w:cs="宋体"/>
                <w:color w:val="000000"/>
                <w:kern w:val="0"/>
                <w:sz w:val="18"/>
                <w:szCs w:val="18"/>
              </w:rPr>
            </w:pPr>
            <w:r>
              <w:rPr>
                <w:rFonts w:hint="eastAsia"/>
                <w:sz w:val="18"/>
                <w:szCs w:val="18"/>
              </w:rPr>
              <w:t>达到目标值得满分，否则不得分。</w:t>
            </w:r>
          </w:p>
        </w:tc>
        <w:tc>
          <w:tcPr>
            <w:tcW w:w="1126"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业务人员参训时间</w:t>
            </w:r>
          </w:p>
        </w:tc>
        <w:tc>
          <w:tcPr>
            <w:tcW w:w="679" w:type="dxa"/>
            <w:noWrap w:val="0"/>
            <w:vAlign w:val="center"/>
          </w:tcPr>
          <w:p>
            <w:pPr>
              <w:widowControl/>
              <w:jc w:val="center"/>
              <w:rPr>
                <w:rFonts w:hint="eastAsia" w:ascii="宋体" w:hAnsi="宋体" w:cs="宋体"/>
                <w:color w:val="000000"/>
                <w:kern w:val="0"/>
                <w:sz w:val="18"/>
                <w:szCs w:val="18"/>
              </w:rPr>
            </w:pPr>
            <w:r>
              <w:rPr>
                <w:rFonts w:hint="eastAsia"/>
                <w:sz w:val="18"/>
                <w:szCs w:val="18"/>
              </w:rPr>
              <w:t>=</w:t>
            </w:r>
          </w:p>
        </w:tc>
        <w:tc>
          <w:tcPr>
            <w:tcW w:w="581" w:type="dxa"/>
            <w:noWrap w:val="0"/>
            <w:vAlign w:val="center"/>
          </w:tcPr>
          <w:p>
            <w:pPr>
              <w:widowControl/>
              <w:jc w:val="center"/>
              <w:rPr>
                <w:rFonts w:hint="eastAsia" w:ascii="宋体" w:hAnsi="宋体" w:cs="宋体"/>
                <w:color w:val="000000"/>
                <w:kern w:val="0"/>
                <w:sz w:val="18"/>
                <w:szCs w:val="18"/>
              </w:rPr>
            </w:pPr>
            <w:r>
              <w:rPr>
                <w:rFonts w:hint="eastAsia"/>
                <w:sz w:val="18"/>
                <w:szCs w:val="18"/>
              </w:rPr>
              <w:t>10</w:t>
            </w:r>
          </w:p>
        </w:tc>
        <w:tc>
          <w:tcPr>
            <w:tcW w:w="500" w:type="dxa"/>
            <w:noWrap w:val="0"/>
            <w:vAlign w:val="center"/>
          </w:tcPr>
          <w:p>
            <w:pPr>
              <w:widowControl/>
              <w:jc w:val="center"/>
              <w:rPr>
                <w:rFonts w:hint="eastAsia" w:ascii="宋体" w:hAnsi="宋体" w:cs="宋体"/>
                <w:color w:val="000000"/>
                <w:kern w:val="0"/>
                <w:sz w:val="18"/>
                <w:szCs w:val="18"/>
              </w:rPr>
            </w:pPr>
            <w:r>
              <w:rPr>
                <w:rFonts w:hint="eastAsia"/>
                <w:sz w:val="18"/>
                <w:szCs w:val="18"/>
              </w:rPr>
              <w:t>天</w:t>
            </w:r>
          </w:p>
        </w:tc>
        <w:tc>
          <w:tcPr>
            <w:tcW w:w="698" w:type="dxa"/>
            <w:noWrap w:val="0"/>
            <w:vAlign w:val="center"/>
          </w:tcPr>
          <w:p>
            <w:pPr>
              <w:widowControl/>
              <w:jc w:val="center"/>
              <w:rPr>
                <w:rFonts w:hint="eastAsia" w:ascii="宋体" w:hAnsi="宋体" w:cs="宋体"/>
                <w:color w:val="000000"/>
                <w:kern w:val="0"/>
                <w:sz w:val="18"/>
                <w:szCs w:val="18"/>
              </w:rPr>
            </w:pPr>
            <w:r>
              <w:rPr>
                <w:rFonts w:hint="eastAsia"/>
                <w:sz w:val="18"/>
                <w:szCs w:val="18"/>
              </w:rPr>
              <w:t>项目实施计划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843" w:type="dxa"/>
            <w:vMerge w:val="continue"/>
            <w:noWrap w:val="0"/>
            <w:vAlign w:val="center"/>
          </w:tcPr>
          <w:p>
            <w:pPr>
              <w:widowControl/>
              <w:jc w:val="left"/>
              <w:rPr>
                <w:rFonts w:ascii="宋体" w:hAnsi="宋体" w:cs="宋体"/>
                <w:color w:val="000000"/>
                <w:kern w:val="0"/>
                <w:sz w:val="22"/>
              </w:rPr>
            </w:pPr>
          </w:p>
        </w:tc>
        <w:tc>
          <w:tcPr>
            <w:tcW w:w="989" w:type="dxa"/>
            <w:vMerge w:val="continue"/>
            <w:noWrap w:val="0"/>
            <w:vAlign w:val="center"/>
          </w:tcPr>
          <w:p>
            <w:pPr>
              <w:widowControl/>
              <w:jc w:val="center"/>
              <w:rPr>
                <w:rFonts w:hint="eastAsia" w:ascii="宋体" w:hAnsi="宋体" w:cs="宋体"/>
                <w:color w:val="000000"/>
                <w:kern w:val="0"/>
                <w:sz w:val="22"/>
              </w:rPr>
            </w:pPr>
          </w:p>
        </w:tc>
        <w:tc>
          <w:tcPr>
            <w:tcW w:w="848" w:type="dxa"/>
            <w:noWrap w:val="0"/>
            <w:vAlign w:val="center"/>
          </w:tcPr>
          <w:p>
            <w:pPr>
              <w:widowControl/>
              <w:jc w:val="center"/>
              <w:rPr>
                <w:rFonts w:hint="eastAsia" w:ascii="宋体" w:hAnsi="宋体" w:cs="宋体"/>
                <w:color w:val="000000"/>
                <w:kern w:val="0"/>
                <w:sz w:val="18"/>
                <w:szCs w:val="18"/>
              </w:rPr>
            </w:pPr>
            <w:r>
              <w:rPr>
                <w:rFonts w:hint="eastAsia"/>
                <w:sz w:val="18"/>
                <w:szCs w:val="18"/>
              </w:rPr>
              <w:t>办公用房租赁时间</w:t>
            </w:r>
          </w:p>
        </w:tc>
        <w:tc>
          <w:tcPr>
            <w:tcW w:w="1836" w:type="dxa"/>
            <w:noWrap w:val="0"/>
            <w:vAlign w:val="center"/>
          </w:tcPr>
          <w:p>
            <w:pPr>
              <w:widowControl/>
              <w:jc w:val="center"/>
              <w:rPr>
                <w:rFonts w:hint="eastAsia" w:ascii="宋体" w:hAnsi="宋体" w:cs="宋体"/>
                <w:color w:val="000000"/>
                <w:kern w:val="0"/>
                <w:sz w:val="18"/>
                <w:szCs w:val="18"/>
              </w:rPr>
            </w:pPr>
            <w:r>
              <w:rPr>
                <w:rFonts w:hint="eastAsia"/>
                <w:sz w:val="18"/>
                <w:szCs w:val="18"/>
              </w:rPr>
              <w:t>达到目标值得满分，否则不得分。</w:t>
            </w:r>
          </w:p>
        </w:tc>
        <w:tc>
          <w:tcPr>
            <w:tcW w:w="1126"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办公用房租赁时间</w:t>
            </w:r>
          </w:p>
        </w:tc>
        <w:tc>
          <w:tcPr>
            <w:tcW w:w="679" w:type="dxa"/>
            <w:noWrap w:val="0"/>
            <w:vAlign w:val="center"/>
          </w:tcPr>
          <w:p>
            <w:pPr>
              <w:widowControl/>
              <w:jc w:val="center"/>
              <w:rPr>
                <w:rFonts w:hint="eastAsia" w:ascii="宋体" w:hAnsi="宋体" w:cs="宋体"/>
                <w:color w:val="000000"/>
                <w:kern w:val="0"/>
                <w:sz w:val="18"/>
                <w:szCs w:val="18"/>
              </w:rPr>
            </w:pPr>
            <w:r>
              <w:rPr>
                <w:rFonts w:hint="eastAsia"/>
                <w:sz w:val="18"/>
                <w:szCs w:val="18"/>
              </w:rPr>
              <w:t>=</w:t>
            </w:r>
          </w:p>
        </w:tc>
        <w:tc>
          <w:tcPr>
            <w:tcW w:w="581" w:type="dxa"/>
            <w:noWrap w:val="0"/>
            <w:vAlign w:val="center"/>
          </w:tcPr>
          <w:p>
            <w:pPr>
              <w:widowControl/>
              <w:jc w:val="center"/>
              <w:rPr>
                <w:rFonts w:hint="eastAsia" w:ascii="宋体" w:hAnsi="宋体" w:cs="宋体"/>
                <w:color w:val="000000"/>
                <w:kern w:val="0"/>
                <w:sz w:val="18"/>
                <w:szCs w:val="18"/>
              </w:rPr>
            </w:pPr>
            <w:r>
              <w:rPr>
                <w:rFonts w:hint="eastAsia"/>
                <w:sz w:val="18"/>
                <w:szCs w:val="18"/>
              </w:rPr>
              <w:t>12</w:t>
            </w:r>
          </w:p>
        </w:tc>
        <w:tc>
          <w:tcPr>
            <w:tcW w:w="500" w:type="dxa"/>
            <w:noWrap w:val="0"/>
            <w:vAlign w:val="center"/>
          </w:tcPr>
          <w:p>
            <w:pPr>
              <w:widowControl/>
              <w:jc w:val="center"/>
              <w:rPr>
                <w:rFonts w:hint="eastAsia" w:ascii="宋体" w:hAnsi="宋体" w:cs="宋体"/>
                <w:color w:val="000000"/>
                <w:kern w:val="0"/>
                <w:sz w:val="18"/>
                <w:szCs w:val="18"/>
              </w:rPr>
            </w:pPr>
            <w:r>
              <w:rPr>
                <w:rFonts w:hint="eastAsia"/>
                <w:sz w:val="18"/>
                <w:szCs w:val="18"/>
              </w:rPr>
              <w:t>个月</w:t>
            </w:r>
          </w:p>
        </w:tc>
        <w:tc>
          <w:tcPr>
            <w:tcW w:w="698" w:type="dxa"/>
            <w:noWrap w:val="0"/>
            <w:vAlign w:val="center"/>
          </w:tcPr>
          <w:p>
            <w:pPr>
              <w:widowControl/>
              <w:jc w:val="center"/>
              <w:rPr>
                <w:rFonts w:hint="eastAsia" w:ascii="宋体" w:hAnsi="宋体" w:cs="宋体"/>
                <w:color w:val="000000"/>
                <w:kern w:val="0"/>
                <w:sz w:val="18"/>
                <w:szCs w:val="18"/>
              </w:rPr>
            </w:pPr>
            <w:r>
              <w:rPr>
                <w:rFonts w:hint="eastAsia"/>
                <w:sz w:val="18"/>
                <w:szCs w:val="18"/>
              </w:rPr>
              <w:t>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843" w:type="dxa"/>
            <w:vMerge w:val="continue"/>
            <w:noWrap w:val="0"/>
            <w:vAlign w:val="center"/>
          </w:tcPr>
          <w:p>
            <w:pPr>
              <w:widowControl/>
              <w:jc w:val="left"/>
              <w:rPr>
                <w:rFonts w:ascii="宋体" w:hAnsi="宋体" w:cs="宋体"/>
                <w:color w:val="000000"/>
                <w:kern w:val="0"/>
                <w:sz w:val="22"/>
              </w:rPr>
            </w:pPr>
          </w:p>
        </w:tc>
        <w:tc>
          <w:tcPr>
            <w:tcW w:w="989" w:type="dxa"/>
            <w:vMerge w:val="continue"/>
            <w:noWrap w:val="0"/>
            <w:vAlign w:val="center"/>
          </w:tcPr>
          <w:p>
            <w:pPr>
              <w:widowControl/>
              <w:jc w:val="center"/>
              <w:rPr>
                <w:rFonts w:hint="eastAsia" w:ascii="宋体" w:hAnsi="宋体" w:cs="宋体"/>
                <w:color w:val="000000"/>
                <w:kern w:val="0"/>
                <w:sz w:val="22"/>
              </w:rPr>
            </w:pPr>
          </w:p>
        </w:tc>
        <w:tc>
          <w:tcPr>
            <w:tcW w:w="848" w:type="dxa"/>
            <w:noWrap w:val="0"/>
            <w:vAlign w:val="center"/>
          </w:tcPr>
          <w:p>
            <w:pPr>
              <w:widowControl/>
              <w:jc w:val="center"/>
              <w:rPr>
                <w:rFonts w:hint="eastAsia" w:ascii="宋体" w:hAnsi="宋体" w:cs="宋体"/>
                <w:color w:val="000000"/>
                <w:kern w:val="0"/>
                <w:sz w:val="18"/>
                <w:szCs w:val="18"/>
              </w:rPr>
            </w:pPr>
            <w:r>
              <w:rPr>
                <w:rFonts w:hint="eastAsia"/>
                <w:sz w:val="18"/>
                <w:szCs w:val="18"/>
              </w:rPr>
              <w:t>服务时间</w:t>
            </w:r>
          </w:p>
        </w:tc>
        <w:tc>
          <w:tcPr>
            <w:tcW w:w="1836" w:type="dxa"/>
            <w:noWrap w:val="0"/>
            <w:vAlign w:val="center"/>
          </w:tcPr>
          <w:p>
            <w:pPr>
              <w:widowControl/>
              <w:jc w:val="center"/>
              <w:rPr>
                <w:rFonts w:hint="eastAsia" w:ascii="宋体" w:hAnsi="宋体" w:cs="宋体"/>
                <w:color w:val="000000"/>
                <w:kern w:val="0"/>
                <w:sz w:val="18"/>
                <w:szCs w:val="18"/>
              </w:rPr>
            </w:pPr>
            <w:r>
              <w:rPr>
                <w:rFonts w:hint="eastAsia"/>
                <w:sz w:val="18"/>
                <w:szCs w:val="18"/>
              </w:rPr>
              <w:t>达到目标值得满分，未完成目标值不得分。</w:t>
            </w:r>
          </w:p>
        </w:tc>
        <w:tc>
          <w:tcPr>
            <w:tcW w:w="1126"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cr/>
            </w:r>
            <w:r>
              <w:rPr>
                <w:rFonts w:hint="eastAsia" w:ascii="宋体" w:hAnsi="宋体" w:cs="宋体"/>
                <w:color w:val="000000"/>
                <w:kern w:val="0"/>
                <w:sz w:val="18"/>
                <w:szCs w:val="18"/>
              </w:rPr>
              <w:t xml:space="preserve">合同约定的整个年度 </w:t>
            </w:r>
          </w:p>
        </w:tc>
        <w:tc>
          <w:tcPr>
            <w:tcW w:w="679" w:type="dxa"/>
            <w:noWrap w:val="0"/>
            <w:vAlign w:val="center"/>
          </w:tcPr>
          <w:p>
            <w:pPr>
              <w:widowControl/>
              <w:jc w:val="center"/>
              <w:rPr>
                <w:rFonts w:hint="eastAsia" w:ascii="宋体" w:hAnsi="宋体" w:cs="宋体"/>
                <w:color w:val="000000"/>
                <w:kern w:val="0"/>
                <w:sz w:val="18"/>
                <w:szCs w:val="18"/>
              </w:rPr>
            </w:pPr>
            <w:r>
              <w:rPr>
                <w:rFonts w:hint="eastAsia"/>
                <w:sz w:val="18"/>
                <w:szCs w:val="18"/>
              </w:rPr>
              <w:t>≥</w:t>
            </w:r>
          </w:p>
        </w:tc>
        <w:tc>
          <w:tcPr>
            <w:tcW w:w="581" w:type="dxa"/>
            <w:noWrap w:val="0"/>
            <w:vAlign w:val="center"/>
          </w:tcPr>
          <w:p>
            <w:pPr>
              <w:widowControl/>
              <w:jc w:val="center"/>
              <w:rPr>
                <w:rFonts w:hint="eastAsia" w:ascii="宋体" w:hAnsi="宋体" w:cs="宋体"/>
                <w:color w:val="000000"/>
                <w:kern w:val="0"/>
                <w:sz w:val="18"/>
                <w:szCs w:val="18"/>
              </w:rPr>
            </w:pPr>
            <w:r>
              <w:rPr>
                <w:rFonts w:hint="eastAsia"/>
                <w:sz w:val="18"/>
                <w:szCs w:val="18"/>
              </w:rPr>
              <w:t>365</w:t>
            </w:r>
          </w:p>
        </w:tc>
        <w:tc>
          <w:tcPr>
            <w:tcW w:w="500" w:type="dxa"/>
            <w:noWrap w:val="0"/>
            <w:vAlign w:val="center"/>
          </w:tcPr>
          <w:p>
            <w:pPr>
              <w:widowControl/>
              <w:jc w:val="center"/>
              <w:rPr>
                <w:rFonts w:hint="eastAsia" w:ascii="宋体" w:hAnsi="宋体" w:cs="宋体"/>
                <w:color w:val="000000"/>
                <w:kern w:val="0"/>
                <w:sz w:val="18"/>
                <w:szCs w:val="18"/>
              </w:rPr>
            </w:pPr>
            <w:r>
              <w:rPr>
                <w:rFonts w:hint="eastAsia"/>
                <w:sz w:val="18"/>
                <w:szCs w:val="18"/>
              </w:rPr>
              <w:t>天</w:t>
            </w:r>
          </w:p>
        </w:tc>
        <w:tc>
          <w:tcPr>
            <w:tcW w:w="698" w:type="dxa"/>
            <w:noWrap w:val="0"/>
            <w:vAlign w:val="center"/>
          </w:tcPr>
          <w:p>
            <w:pPr>
              <w:widowControl/>
              <w:jc w:val="center"/>
              <w:rPr>
                <w:rFonts w:hint="eastAsia" w:ascii="宋体" w:hAnsi="宋体" w:cs="宋体"/>
                <w:color w:val="000000"/>
                <w:kern w:val="0"/>
                <w:sz w:val="18"/>
                <w:szCs w:val="18"/>
              </w:rPr>
            </w:pPr>
            <w:r>
              <w:rPr>
                <w:rFonts w:hint="eastAsia"/>
                <w:sz w:val="18"/>
                <w:szCs w:val="18"/>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843" w:type="dxa"/>
            <w:vMerge w:val="continue"/>
            <w:noWrap w:val="0"/>
            <w:vAlign w:val="center"/>
          </w:tcPr>
          <w:p>
            <w:pPr>
              <w:widowControl/>
              <w:jc w:val="left"/>
              <w:rPr>
                <w:rFonts w:ascii="宋体" w:hAnsi="宋体" w:cs="宋体"/>
                <w:color w:val="000000"/>
                <w:kern w:val="0"/>
                <w:sz w:val="22"/>
              </w:rPr>
            </w:pPr>
          </w:p>
        </w:tc>
        <w:tc>
          <w:tcPr>
            <w:tcW w:w="989" w:type="dxa"/>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成本</w:t>
            </w:r>
          </w:p>
        </w:tc>
        <w:tc>
          <w:tcPr>
            <w:tcW w:w="848"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平均成本控制率</w:t>
            </w:r>
          </w:p>
        </w:tc>
        <w:tc>
          <w:tcPr>
            <w:tcW w:w="1836"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实际支出的平均成本数≤预算安排的成本，得权重分的100%，否则不得分</w:t>
            </w:r>
          </w:p>
        </w:tc>
        <w:tc>
          <w:tcPr>
            <w:tcW w:w="1126"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实际平均成本与预期成本比率</w:t>
            </w:r>
          </w:p>
        </w:tc>
        <w:tc>
          <w:tcPr>
            <w:tcW w:w="679"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581"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c>
          <w:tcPr>
            <w:tcW w:w="500"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698"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资金使用计划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43" w:type="dxa"/>
            <w:vMerge w:val="restart"/>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部门效果</w:t>
            </w:r>
          </w:p>
        </w:tc>
        <w:tc>
          <w:tcPr>
            <w:tcW w:w="989" w:type="dxa"/>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经济效益</w:t>
            </w:r>
          </w:p>
        </w:tc>
        <w:tc>
          <w:tcPr>
            <w:tcW w:w="848"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为政府节约投资资金</w:t>
            </w:r>
          </w:p>
        </w:tc>
        <w:tc>
          <w:tcPr>
            <w:tcW w:w="1836"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完成目标任务得满分，每减少指标值的5%，扣该指标分值的10%，完成率低于60%得0分。</w:t>
            </w:r>
          </w:p>
        </w:tc>
        <w:tc>
          <w:tcPr>
            <w:tcW w:w="1126"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节约政府投资</w:t>
            </w:r>
          </w:p>
        </w:tc>
        <w:tc>
          <w:tcPr>
            <w:tcW w:w="679"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581"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100</w:t>
            </w:r>
          </w:p>
        </w:tc>
        <w:tc>
          <w:tcPr>
            <w:tcW w:w="500"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69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双方签订的合同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843" w:type="dxa"/>
            <w:vMerge w:val="continue"/>
            <w:noWrap w:val="0"/>
            <w:vAlign w:val="center"/>
          </w:tcPr>
          <w:p>
            <w:pPr>
              <w:widowControl/>
              <w:jc w:val="left"/>
              <w:rPr>
                <w:rFonts w:ascii="宋体" w:hAnsi="宋体" w:cs="宋体"/>
                <w:color w:val="000000"/>
                <w:kern w:val="0"/>
                <w:sz w:val="22"/>
              </w:rPr>
            </w:pPr>
          </w:p>
        </w:tc>
        <w:tc>
          <w:tcPr>
            <w:tcW w:w="989" w:type="dxa"/>
            <w:vMerge w:val="restart"/>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社会效益</w:t>
            </w:r>
          </w:p>
        </w:tc>
        <w:tc>
          <w:tcPr>
            <w:tcW w:w="848"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规范政府投资项目管理</w:t>
            </w:r>
          </w:p>
        </w:tc>
        <w:tc>
          <w:tcPr>
            <w:tcW w:w="1836"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完成目标任务得满分，每减少指标值的5%，扣该指标分值的10%，完成率低于60%得0分。</w:t>
            </w:r>
          </w:p>
        </w:tc>
        <w:tc>
          <w:tcPr>
            <w:tcW w:w="1126"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规范政府投资项目管理</w:t>
            </w:r>
          </w:p>
        </w:tc>
        <w:tc>
          <w:tcPr>
            <w:tcW w:w="679"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581" w:type="dxa"/>
            <w:noWrap w:val="0"/>
            <w:vAlign w:val="center"/>
          </w:tcPr>
          <w:p>
            <w:pPr>
              <w:widowControl/>
              <w:jc w:val="center"/>
              <w:rPr>
                <w:rFonts w:hint="eastAsia" w:ascii="宋体" w:hAnsi="宋体" w:cs="宋体"/>
                <w:kern w:val="0"/>
                <w:sz w:val="18"/>
                <w:szCs w:val="18"/>
              </w:rPr>
            </w:pPr>
            <w:r>
              <w:rPr>
                <w:rFonts w:ascii="宋体" w:hAnsi="宋体" w:cs="宋体"/>
                <w:kern w:val="0"/>
                <w:sz w:val="18"/>
                <w:szCs w:val="18"/>
              </w:rPr>
              <w:t>3</w:t>
            </w:r>
          </w:p>
        </w:tc>
        <w:tc>
          <w:tcPr>
            <w:tcW w:w="500"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个</w:t>
            </w:r>
          </w:p>
        </w:tc>
        <w:tc>
          <w:tcPr>
            <w:tcW w:w="698"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双方签订的合同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843" w:type="dxa"/>
            <w:vMerge w:val="continue"/>
            <w:noWrap w:val="0"/>
            <w:vAlign w:val="center"/>
          </w:tcPr>
          <w:p>
            <w:pPr>
              <w:widowControl/>
              <w:jc w:val="left"/>
              <w:rPr>
                <w:rFonts w:ascii="宋体" w:hAnsi="宋体" w:cs="宋体"/>
                <w:color w:val="000000"/>
                <w:kern w:val="0"/>
                <w:sz w:val="22"/>
              </w:rPr>
            </w:pPr>
          </w:p>
        </w:tc>
        <w:tc>
          <w:tcPr>
            <w:tcW w:w="989" w:type="dxa"/>
            <w:vMerge w:val="continue"/>
            <w:noWrap w:val="0"/>
            <w:vAlign w:val="center"/>
          </w:tcPr>
          <w:p>
            <w:pPr>
              <w:widowControl/>
              <w:jc w:val="center"/>
              <w:rPr>
                <w:rFonts w:hint="eastAsia" w:ascii="宋体" w:hAnsi="宋体" w:cs="宋体"/>
                <w:color w:val="000000"/>
                <w:kern w:val="0"/>
                <w:sz w:val="22"/>
              </w:rPr>
            </w:pPr>
          </w:p>
        </w:tc>
        <w:tc>
          <w:tcPr>
            <w:tcW w:w="848" w:type="dxa"/>
            <w:noWrap w:val="0"/>
            <w:vAlign w:val="center"/>
          </w:tcPr>
          <w:p>
            <w:pPr>
              <w:widowControl/>
              <w:jc w:val="center"/>
              <w:rPr>
                <w:rFonts w:hint="eastAsia" w:ascii="宋体" w:hAnsi="宋体" w:cs="宋体"/>
                <w:color w:val="000000"/>
                <w:kern w:val="0"/>
                <w:sz w:val="18"/>
                <w:szCs w:val="18"/>
              </w:rPr>
            </w:pPr>
            <w:r>
              <w:rPr>
                <w:rFonts w:hint="eastAsia"/>
                <w:color w:val="000000"/>
                <w:sz w:val="20"/>
                <w:szCs w:val="20"/>
              </w:rPr>
              <w:t>受训学员业务提升情况</w:t>
            </w:r>
          </w:p>
        </w:tc>
        <w:tc>
          <w:tcPr>
            <w:tcW w:w="1836" w:type="dxa"/>
            <w:noWrap w:val="0"/>
            <w:vAlign w:val="center"/>
          </w:tcPr>
          <w:p>
            <w:pPr>
              <w:widowControl/>
              <w:jc w:val="center"/>
              <w:rPr>
                <w:rFonts w:hint="eastAsia" w:ascii="宋体" w:hAnsi="宋体" w:cs="宋体"/>
                <w:color w:val="000000"/>
                <w:kern w:val="0"/>
                <w:sz w:val="18"/>
                <w:szCs w:val="18"/>
              </w:rPr>
            </w:pPr>
            <w:r>
              <w:rPr>
                <w:rFonts w:hint="eastAsia"/>
                <w:sz w:val="18"/>
                <w:szCs w:val="18"/>
              </w:rPr>
              <w:t>效果显著得满分，效果一般得50%权重分，效果不明显不得分。</w:t>
            </w:r>
          </w:p>
        </w:tc>
        <w:tc>
          <w:tcPr>
            <w:tcW w:w="1126"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培训内容对受训学员实际工作上的提升效果</w:t>
            </w:r>
          </w:p>
        </w:tc>
        <w:tc>
          <w:tcPr>
            <w:tcW w:w="679" w:type="dxa"/>
            <w:noWrap w:val="0"/>
            <w:vAlign w:val="center"/>
          </w:tcPr>
          <w:p>
            <w:pPr>
              <w:widowControl/>
              <w:jc w:val="center"/>
              <w:rPr>
                <w:rFonts w:hint="eastAsia" w:ascii="宋体" w:hAnsi="宋体" w:cs="宋体"/>
                <w:kern w:val="0"/>
                <w:sz w:val="18"/>
                <w:szCs w:val="18"/>
              </w:rPr>
            </w:pPr>
          </w:p>
        </w:tc>
        <w:tc>
          <w:tcPr>
            <w:tcW w:w="581" w:type="dxa"/>
            <w:noWrap w:val="0"/>
            <w:vAlign w:val="center"/>
          </w:tcPr>
          <w:p>
            <w:pPr>
              <w:widowControl/>
              <w:jc w:val="center"/>
              <w:rPr>
                <w:rFonts w:hint="eastAsia" w:ascii="宋体" w:hAnsi="宋体" w:cs="宋体"/>
                <w:kern w:val="0"/>
                <w:sz w:val="18"/>
                <w:szCs w:val="18"/>
              </w:rPr>
            </w:pPr>
            <w:r>
              <w:rPr>
                <w:rFonts w:hint="eastAsia"/>
                <w:sz w:val="18"/>
                <w:szCs w:val="18"/>
              </w:rPr>
              <w:t>有效提升</w:t>
            </w:r>
          </w:p>
        </w:tc>
        <w:tc>
          <w:tcPr>
            <w:tcW w:w="500" w:type="dxa"/>
            <w:noWrap w:val="0"/>
            <w:vAlign w:val="center"/>
          </w:tcPr>
          <w:p>
            <w:pPr>
              <w:widowControl/>
              <w:jc w:val="center"/>
              <w:rPr>
                <w:rFonts w:hint="eastAsia" w:ascii="宋体" w:hAnsi="宋体" w:cs="宋体"/>
                <w:kern w:val="0"/>
                <w:sz w:val="18"/>
                <w:szCs w:val="18"/>
              </w:rPr>
            </w:pPr>
          </w:p>
        </w:tc>
        <w:tc>
          <w:tcPr>
            <w:tcW w:w="698" w:type="dxa"/>
            <w:noWrap w:val="0"/>
            <w:vAlign w:val="center"/>
          </w:tcPr>
          <w:p>
            <w:pPr>
              <w:widowControl/>
              <w:jc w:val="center"/>
              <w:rPr>
                <w:rFonts w:hint="eastAsia" w:ascii="宋体" w:hAnsi="宋体" w:cs="宋体"/>
                <w:color w:val="000000"/>
                <w:kern w:val="0"/>
                <w:sz w:val="18"/>
                <w:szCs w:val="18"/>
              </w:rPr>
            </w:pPr>
            <w:r>
              <w:rPr>
                <w:rFonts w:hint="eastAsia"/>
                <w:color w:val="000000"/>
                <w:sz w:val="20"/>
                <w:szCs w:val="20"/>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843" w:type="dxa"/>
            <w:vMerge w:val="continue"/>
            <w:noWrap w:val="0"/>
            <w:vAlign w:val="center"/>
          </w:tcPr>
          <w:p>
            <w:pPr>
              <w:widowControl/>
              <w:jc w:val="left"/>
              <w:rPr>
                <w:rFonts w:ascii="宋体" w:hAnsi="宋体" w:cs="宋体"/>
                <w:color w:val="000000"/>
                <w:kern w:val="0"/>
                <w:sz w:val="22"/>
              </w:rPr>
            </w:pPr>
          </w:p>
        </w:tc>
        <w:tc>
          <w:tcPr>
            <w:tcW w:w="989" w:type="dxa"/>
            <w:vMerge w:val="continue"/>
            <w:noWrap w:val="0"/>
            <w:vAlign w:val="center"/>
          </w:tcPr>
          <w:p>
            <w:pPr>
              <w:widowControl/>
              <w:jc w:val="center"/>
              <w:rPr>
                <w:rFonts w:hint="eastAsia" w:ascii="宋体" w:hAnsi="宋体" w:cs="宋体"/>
                <w:color w:val="000000"/>
                <w:kern w:val="0"/>
                <w:sz w:val="22"/>
              </w:rPr>
            </w:pPr>
          </w:p>
        </w:tc>
        <w:tc>
          <w:tcPr>
            <w:tcW w:w="848" w:type="dxa"/>
            <w:noWrap w:val="0"/>
            <w:vAlign w:val="center"/>
          </w:tcPr>
          <w:p>
            <w:pPr>
              <w:widowControl/>
              <w:jc w:val="center"/>
              <w:rPr>
                <w:rFonts w:hint="eastAsia"/>
                <w:color w:val="000000"/>
                <w:sz w:val="20"/>
                <w:szCs w:val="20"/>
              </w:rPr>
            </w:pPr>
            <w:r>
              <w:rPr>
                <w:rFonts w:hint="eastAsia"/>
                <w:sz w:val="18"/>
                <w:szCs w:val="18"/>
              </w:rPr>
              <w:t>工作运转率</w:t>
            </w:r>
          </w:p>
        </w:tc>
        <w:tc>
          <w:tcPr>
            <w:tcW w:w="1836" w:type="dxa"/>
            <w:noWrap w:val="0"/>
            <w:vAlign w:val="center"/>
          </w:tcPr>
          <w:p>
            <w:pPr>
              <w:widowControl/>
              <w:jc w:val="center"/>
              <w:rPr>
                <w:rFonts w:hint="eastAsia"/>
                <w:color w:val="000000"/>
                <w:sz w:val="20"/>
                <w:szCs w:val="20"/>
              </w:rPr>
            </w:pPr>
            <w:r>
              <w:rPr>
                <w:rFonts w:hint="eastAsia"/>
                <w:sz w:val="18"/>
                <w:szCs w:val="18"/>
              </w:rPr>
              <w:t>达到目标值得满分，目标值每减少1%，扣减1%权重分，低于目标值60%不得分。</w:t>
            </w:r>
          </w:p>
        </w:tc>
        <w:tc>
          <w:tcPr>
            <w:tcW w:w="1126" w:type="dxa"/>
            <w:noWrap w:val="0"/>
            <w:vAlign w:val="center"/>
          </w:tcPr>
          <w:p>
            <w:pPr>
              <w:widowControl/>
              <w:jc w:val="center"/>
              <w:rPr>
                <w:rFonts w:hint="eastAsia"/>
                <w:sz w:val="18"/>
                <w:szCs w:val="18"/>
              </w:rPr>
            </w:pPr>
            <w:r>
              <w:rPr>
                <w:rFonts w:hint="eastAsia"/>
                <w:sz w:val="18"/>
                <w:szCs w:val="18"/>
              </w:rPr>
              <w:t>正常开展工作的天数占总天数的比例</w:t>
            </w:r>
          </w:p>
        </w:tc>
        <w:tc>
          <w:tcPr>
            <w:tcW w:w="679" w:type="dxa"/>
            <w:noWrap w:val="0"/>
            <w:vAlign w:val="center"/>
          </w:tcPr>
          <w:p>
            <w:pPr>
              <w:widowControl/>
              <w:jc w:val="center"/>
              <w:rPr>
                <w:rFonts w:hint="eastAsia"/>
                <w:sz w:val="18"/>
                <w:szCs w:val="18"/>
              </w:rPr>
            </w:pPr>
            <w:r>
              <w:rPr>
                <w:rFonts w:hint="eastAsia"/>
                <w:sz w:val="18"/>
                <w:szCs w:val="18"/>
              </w:rPr>
              <w:t>=</w:t>
            </w:r>
          </w:p>
        </w:tc>
        <w:tc>
          <w:tcPr>
            <w:tcW w:w="581" w:type="dxa"/>
            <w:noWrap w:val="0"/>
            <w:vAlign w:val="center"/>
          </w:tcPr>
          <w:p>
            <w:pPr>
              <w:widowControl/>
              <w:jc w:val="center"/>
              <w:rPr>
                <w:rFonts w:hint="eastAsia"/>
                <w:color w:val="000000"/>
                <w:sz w:val="18"/>
                <w:szCs w:val="18"/>
              </w:rPr>
            </w:pPr>
            <w:r>
              <w:rPr>
                <w:rFonts w:hint="eastAsia"/>
                <w:sz w:val="18"/>
                <w:szCs w:val="18"/>
              </w:rPr>
              <w:t>100</w:t>
            </w:r>
          </w:p>
        </w:tc>
        <w:tc>
          <w:tcPr>
            <w:tcW w:w="500" w:type="dxa"/>
            <w:noWrap w:val="0"/>
            <w:vAlign w:val="center"/>
          </w:tcPr>
          <w:p>
            <w:pPr>
              <w:widowControl/>
              <w:jc w:val="center"/>
              <w:rPr>
                <w:rFonts w:hint="eastAsia"/>
                <w:color w:val="000000"/>
                <w:sz w:val="20"/>
                <w:szCs w:val="20"/>
              </w:rPr>
            </w:pPr>
            <w:r>
              <w:rPr>
                <w:rFonts w:hint="eastAsia"/>
                <w:sz w:val="18"/>
                <w:szCs w:val="18"/>
              </w:rPr>
              <w:t>%</w:t>
            </w:r>
          </w:p>
        </w:tc>
        <w:tc>
          <w:tcPr>
            <w:tcW w:w="698" w:type="dxa"/>
            <w:noWrap w:val="0"/>
            <w:vAlign w:val="center"/>
          </w:tcPr>
          <w:p>
            <w:pPr>
              <w:widowControl/>
              <w:jc w:val="center"/>
              <w:rPr>
                <w:rFonts w:hint="eastAsia"/>
                <w:color w:val="000000"/>
                <w:sz w:val="20"/>
                <w:szCs w:val="20"/>
              </w:rPr>
            </w:pPr>
            <w:r>
              <w:rPr>
                <w:rFonts w:hint="eastAsia"/>
                <w:sz w:val="18"/>
                <w:szCs w:val="18"/>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843" w:type="dxa"/>
            <w:vMerge w:val="continue"/>
            <w:noWrap w:val="0"/>
            <w:vAlign w:val="center"/>
          </w:tcPr>
          <w:p>
            <w:pPr>
              <w:widowControl/>
              <w:jc w:val="left"/>
              <w:rPr>
                <w:rFonts w:ascii="宋体" w:hAnsi="宋体" w:cs="宋体"/>
                <w:color w:val="000000"/>
                <w:kern w:val="0"/>
                <w:sz w:val="22"/>
              </w:rPr>
            </w:pPr>
          </w:p>
        </w:tc>
        <w:tc>
          <w:tcPr>
            <w:tcW w:w="989" w:type="dxa"/>
            <w:vMerge w:val="continue"/>
            <w:noWrap w:val="0"/>
            <w:vAlign w:val="center"/>
          </w:tcPr>
          <w:p>
            <w:pPr>
              <w:widowControl/>
              <w:jc w:val="center"/>
              <w:rPr>
                <w:rFonts w:hint="eastAsia" w:ascii="宋体" w:hAnsi="宋体" w:cs="宋体"/>
                <w:color w:val="000000"/>
                <w:kern w:val="0"/>
                <w:sz w:val="22"/>
              </w:rPr>
            </w:pPr>
          </w:p>
        </w:tc>
        <w:tc>
          <w:tcPr>
            <w:tcW w:w="848" w:type="dxa"/>
            <w:noWrap w:val="0"/>
            <w:vAlign w:val="center"/>
          </w:tcPr>
          <w:p>
            <w:pPr>
              <w:widowControl/>
              <w:jc w:val="center"/>
              <w:rPr>
                <w:rFonts w:hint="eastAsia"/>
                <w:sz w:val="18"/>
                <w:szCs w:val="18"/>
              </w:rPr>
            </w:pPr>
            <w:r>
              <w:rPr>
                <w:rFonts w:hint="eastAsia"/>
                <w:sz w:val="18"/>
                <w:szCs w:val="18"/>
              </w:rPr>
              <w:t>法律问题解决率</w:t>
            </w:r>
          </w:p>
        </w:tc>
        <w:tc>
          <w:tcPr>
            <w:tcW w:w="1836" w:type="dxa"/>
            <w:noWrap w:val="0"/>
            <w:vAlign w:val="center"/>
          </w:tcPr>
          <w:p>
            <w:pPr>
              <w:widowControl/>
              <w:jc w:val="center"/>
              <w:rPr>
                <w:rFonts w:hint="eastAsia"/>
                <w:sz w:val="18"/>
                <w:szCs w:val="18"/>
              </w:rPr>
            </w:pPr>
            <w:r>
              <w:rPr>
                <w:rFonts w:hint="eastAsia"/>
                <w:sz w:val="18"/>
                <w:szCs w:val="18"/>
              </w:rPr>
              <w:t>达到目标值得满分，每减少10%扣权重分值的10%，低于60%不得分。</w:t>
            </w:r>
          </w:p>
        </w:tc>
        <w:tc>
          <w:tcPr>
            <w:tcW w:w="1126" w:type="dxa"/>
            <w:noWrap w:val="0"/>
            <w:vAlign w:val="center"/>
          </w:tcPr>
          <w:p>
            <w:pPr>
              <w:widowControl/>
              <w:jc w:val="center"/>
              <w:rPr>
                <w:rFonts w:hint="eastAsia"/>
                <w:sz w:val="18"/>
                <w:szCs w:val="18"/>
              </w:rPr>
            </w:pPr>
            <w:r>
              <w:rPr>
                <w:rFonts w:hint="eastAsia"/>
                <w:sz w:val="18"/>
                <w:szCs w:val="18"/>
              </w:rPr>
              <w:t>审计人员在执法方面遇到的法律问题的解决率</w:t>
            </w:r>
          </w:p>
        </w:tc>
        <w:tc>
          <w:tcPr>
            <w:tcW w:w="679" w:type="dxa"/>
            <w:noWrap w:val="0"/>
            <w:vAlign w:val="center"/>
          </w:tcPr>
          <w:p>
            <w:pPr>
              <w:widowControl/>
              <w:jc w:val="center"/>
              <w:rPr>
                <w:rFonts w:hint="eastAsia"/>
                <w:sz w:val="18"/>
                <w:szCs w:val="18"/>
              </w:rPr>
            </w:pPr>
            <w:r>
              <w:rPr>
                <w:rFonts w:hint="eastAsia"/>
                <w:sz w:val="18"/>
                <w:szCs w:val="18"/>
              </w:rPr>
              <w:t>=</w:t>
            </w:r>
          </w:p>
        </w:tc>
        <w:tc>
          <w:tcPr>
            <w:tcW w:w="581" w:type="dxa"/>
            <w:noWrap w:val="0"/>
            <w:vAlign w:val="center"/>
          </w:tcPr>
          <w:p>
            <w:pPr>
              <w:widowControl/>
              <w:jc w:val="center"/>
              <w:rPr>
                <w:rFonts w:hint="eastAsia"/>
                <w:sz w:val="18"/>
                <w:szCs w:val="18"/>
              </w:rPr>
            </w:pPr>
            <w:r>
              <w:rPr>
                <w:rFonts w:hint="eastAsia"/>
                <w:sz w:val="18"/>
                <w:szCs w:val="18"/>
              </w:rPr>
              <w:t>100</w:t>
            </w:r>
          </w:p>
        </w:tc>
        <w:tc>
          <w:tcPr>
            <w:tcW w:w="500" w:type="dxa"/>
            <w:noWrap w:val="0"/>
            <w:vAlign w:val="center"/>
          </w:tcPr>
          <w:p>
            <w:pPr>
              <w:widowControl/>
              <w:jc w:val="center"/>
              <w:rPr>
                <w:rFonts w:hint="eastAsia"/>
                <w:sz w:val="18"/>
                <w:szCs w:val="18"/>
              </w:rPr>
            </w:pPr>
            <w:r>
              <w:rPr>
                <w:rFonts w:hint="eastAsia"/>
                <w:sz w:val="18"/>
                <w:szCs w:val="18"/>
              </w:rPr>
              <w:t>%</w:t>
            </w:r>
          </w:p>
        </w:tc>
        <w:tc>
          <w:tcPr>
            <w:tcW w:w="698" w:type="dxa"/>
            <w:noWrap w:val="0"/>
            <w:vAlign w:val="center"/>
          </w:tcPr>
          <w:p>
            <w:pPr>
              <w:widowControl/>
              <w:jc w:val="center"/>
              <w:rPr>
                <w:rFonts w:hint="eastAsia"/>
                <w:sz w:val="18"/>
                <w:szCs w:val="18"/>
              </w:rPr>
            </w:pPr>
            <w:r>
              <w:rPr>
                <w:rFonts w:hint="eastAsia"/>
                <w:color w:val="000000"/>
                <w:sz w:val="18"/>
                <w:szCs w:val="18"/>
              </w:rPr>
              <w:t>年度计划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843" w:type="dxa"/>
            <w:vMerge w:val="continue"/>
            <w:noWrap w:val="0"/>
            <w:vAlign w:val="center"/>
          </w:tcPr>
          <w:p>
            <w:pPr>
              <w:widowControl/>
              <w:jc w:val="left"/>
              <w:rPr>
                <w:rFonts w:ascii="宋体" w:hAnsi="宋体" w:cs="宋体"/>
                <w:color w:val="000000"/>
                <w:kern w:val="0"/>
                <w:sz w:val="22"/>
              </w:rPr>
            </w:pPr>
          </w:p>
        </w:tc>
        <w:tc>
          <w:tcPr>
            <w:tcW w:w="989" w:type="dxa"/>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满意度</w:t>
            </w:r>
          </w:p>
        </w:tc>
        <w:tc>
          <w:tcPr>
            <w:tcW w:w="848"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群众满意度</w:t>
            </w:r>
          </w:p>
        </w:tc>
        <w:tc>
          <w:tcPr>
            <w:tcW w:w="1836"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满意率每下降5%扣减分值10%，满意率低于60%得0分。</w:t>
            </w:r>
          </w:p>
        </w:tc>
        <w:tc>
          <w:tcPr>
            <w:tcW w:w="1126"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人民群众的满意程度</w:t>
            </w:r>
          </w:p>
        </w:tc>
        <w:tc>
          <w:tcPr>
            <w:tcW w:w="679"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581"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90</w:t>
            </w:r>
          </w:p>
        </w:tc>
        <w:tc>
          <w:tcPr>
            <w:tcW w:w="500"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69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问卷调查</w:t>
            </w:r>
          </w:p>
        </w:tc>
      </w:tr>
    </w:tbl>
    <w:p>
      <w:pPr>
        <w:spacing w:line="584" w:lineRule="exact"/>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 xml:space="preserve">  </w:t>
      </w:r>
    </w:p>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numPr>
          <w:ilvl w:val="0"/>
          <w:numId w:val="1"/>
        </w:numPr>
        <w:spacing w:line="584" w:lineRule="exact"/>
        <w:ind w:firstLine="640" w:firstLineChars="200"/>
        <w:rPr>
          <w:rFonts w:hint="eastAsia" w:ascii="Times New Roman" w:hAnsi="Times New Roman" w:eastAsia="黑体" w:cs="Times New Roman"/>
          <w:sz w:val="32"/>
          <w:szCs w:val="32"/>
        </w:rPr>
      </w:pPr>
    </w:p>
    <w:p>
      <w:pPr>
        <w:numPr>
          <w:ilvl w:val="0"/>
          <w:numId w:val="1"/>
        </w:numPr>
        <w:spacing w:line="584" w:lineRule="exact"/>
        <w:ind w:firstLine="640" w:firstLineChars="200"/>
        <w:rPr>
          <w:rFonts w:hint="eastAsia" w:ascii="Times New Roman" w:hAnsi="Times New Roman" w:eastAsia="黑体" w:cs="Times New Roman"/>
          <w:sz w:val="32"/>
          <w:szCs w:val="32"/>
        </w:rPr>
      </w:pPr>
    </w:p>
    <w:p>
      <w:pPr>
        <w:numPr>
          <w:ilvl w:val="0"/>
          <w:numId w:val="1"/>
        </w:numPr>
        <w:spacing w:line="584" w:lineRule="exact"/>
        <w:ind w:firstLine="640" w:firstLineChars="200"/>
        <w:rPr>
          <w:rFonts w:hint="eastAsia" w:ascii="Times New Roman" w:hAnsi="Times New Roman" w:eastAsia="黑体" w:cs="Times New Roman"/>
          <w:sz w:val="32"/>
          <w:szCs w:val="32"/>
        </w:rPr>
      </w:pPr>
    </w:p>
    <w:p>
      <w:pPr>
        <w:numPr>
          <w:ilvl w:val="0"/>
          <w:numId w:val="1"/>
        </w:numPr>
        <w:spacing w:line="584" w:lineRule="exact"/>
        <w:ind w:firstLine="640" w:firstLineChars="200"/>
        <w:rPr>
          <w:rFonts w:hint="eastAsia" w:ascii="Times New Roman" w:hAnsi="Times New Roman" w:eastAsia="黑体" w:cs="Times New Roman"/>
          <w:sz w:val="32"/>
          <w:szCs w:val="32"/>
        </w:rPr>
      </w:pPr>
    </w:p>
    <w:p>
      <w:pPr>
        <w:numPr>
          <w:ilvl w:val="0"/>
          <w:numId w:val="1"/>
        </w:numPr>
        <w:spacing w:line="584" w:lineRule="exact"/>
        <w:ind w:firstLine="640" w:firstLineChars="200"/>
        <w:rPr>
          <w:rFonts w:hint="eastAsia" w:ascii="Times New Roman" w:hAnsi="Times New Roman" w:eastAsia="黑体" w:cs="Times New Roman"/>
          <w:sz w:val="32"/>
          <w:szCs w:val="32"/>
        </w:rPr>
      </w:pPr>
    </w:p>
    <w:p>
      <w:pPr>
        <w:numPr>
          <w:ilvl w:val="0"/>
          <w:numId w:val="1"/>
        </w:numPr>
        <w:spacing w:line="584" w:lineRule="exact"/>
        <w:ind w:firstLine="640" w:firstLineChars="200"/>
        <w:rPr>
          <w:rFonts w:hint="eastAsia" w:ascii="Times New Roman" w:hAnsi="Times New Roman" w:eastAsia="黑体" w:cs="Times New Roman"/>
          <w:sz w:val="32"/>
          <w:szCs w:val="32"/>
        </w:rPr>
      </w:pPr>
    </w:p>
    <w:p>
      <w:pPr>
        <w:numPr>
          <w:ilvl w:val="0"/>
          <w:numId w:val="1"/>
        </w:numPr>
        <w:spacing w:line="584" w:lineRule="exact"/>
        <w:ind w:firstLine="640" w:firstLineChars="200"/>
        <w:rPr>
          <w:rFonts w:hint="eastAsia" w:ascii="Times New Roman" w:hAnsi="Times New Roman" w:eastAsia="黑体" w:cs="Times New Roman"/>
          <w:sz w:val="32"/>
          <w:szCs w:val="32"/>
        </w:rPr>
      </w:pPr>
    </w:p>
    <w:p>
      <w:pPr>
        <w:numPr>
          <w:ilvl w:val="0"/>
          <w:numId w:val="1"/>
        </w:numPr>
        <w:spacing w:line="584" w:lineRule="exact"/>
        <w:ind w:firstLine="640" w:firstLineChars="200"/>
        <w:rPr>
          <w:rFonts w:hint="eastAsia" w:ascii="Times New Roman" w:hAnsi="Times New Roman" w:eastAsia="黑体" w:cs="Times New Roman"/>
          <w:sz w:val="32"/>
          <w:szCs w:val="32"/>
        </w:rPr>
      </w:pPr>
    </w:p>
    <w:p>
      <w:pPr>
        <w:numPr>
          <w:ilvl w:val="0"/>
          <w:numId w:val="1"/>
        </w:numPr>
        <w:spacing w:line="584" w:lineRule="exact"/>
        <w:ind w:firstLine="640" w:firstLineChars="200"/>
        <w:rPr>
          <w:rFonts w:hint="eastAsia" w:ascii="Times New Roman" w:hAnsi="Times New Roman" w:eastAsia="黑体" w:cs="Times New Roman"/>
          <w:sz w:val="32"/>
          <w:szCs w:val="32"/>
        </w:rPr>
      </w:pPr>
    </w:p>
    <w:p>
      <w:pPr>
        <w:numPr>
          <w:ilvl w:val="0"/>
          <w:numId w:val="1"/>
        </w:numPr>
        <w:spacing w:line="584" w:lineRule="exact"/>
        <w:ind w:firstLine="640" w:firstLineChars="200"/>
        <w:rPr>
          <w:rFonts w:hint="eastAsia" w:ascii="Times New Roman" w:hAnsi="Times New Roman" w:eastAsia="黑体" w:cs="Times New Roman"/>
          <w:sz w:val="32"/>
          <w:szCs w:val="32"/>
        </w:rPr>
      </w:pPr>
    </w:p>
    <w:p>
      <w:pPr>
        <w:numPr>
          <w:ilvl w:val="0"/>
          <w:numId w:val="1"/>
        </w:numPr>
        <w:spacing w:line="584" w:lineRule="exact"/>
        <w:ind w:firstLine="640" w:firstLineChars="200"/>
        <w:rPr>
          <w:rFonts w:hint="eastAsia" w:ascii="Times New Roman" w:hAnsi="Times New Roman" w:eastAsia="黑体" w:cs="Times New Roman"/>
          <w:sz w:val="32"/>
          <w:szCs w:val="32"/>
        </w:rPr>
      </w:pPr>
    </w:p>
    <w:p>
      <w:pPr>
        <w:numPr>
          <w:ilvl w:val="0"/>
          <w:numId w:val="1"/>
        </w:numPr>
        <w:spacing w:line="584" w:lineRule="exact"/>
        <w:ind w:firstLine="640" w:firstLineChars="200"/>
        <w:rPr>
          <w:rFonts w:hint="eastAsia" w:ascii="Times New Roman" w:hAnsi="Times New Roman" w:eastAsia="黑体" w:cs="Times New Roman"/>
          <w:sz w:val="32"/>
          <w:szCs w:val="32"/>
        </w:rPr>
      </w:pPr>
    </w:p>
    <w:p>
      <w:pPr>
        <w:numPr>
          <w:ilvl w:val="0"/>
          <w:numId w:val="0"/>
        </w:num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第二部分 </w:t>
      </w:r>
      <w:r>
        <w:rPr>
          <w:rFonts w:hint="eastAsia" w:ascii="Times New Roman" w:hAnsi="Times New Roman" w:eastAsia="黑体" w:cs="Times New Roman"/>
          <w:sz w:val="32"/>
          <w:szCs w:val="32"/>
        </w:rPr>
        <w:t>资金绩效目标</w:t>
      </w:r>
    </w:p>
    <w:p>
      <w:pPr>
        <w:numPr>
          <w:ilvl w:val="0"/>
          <w:numId w:val="0"/>
        </w:numPr>
        <w:spacing w:line="584" w:lineRule="exact"/>
        <w:rPr>
          <w:rFonts w:hint="eastAsia" w:ascii="Times New Roman" w:hAnsi="Times New Roman" w:eastAsia="黑体" w:cs="Times New Roman"/>
          <w:sz w:val="32"/>
          <w:szCs w:val="32"/>
        </w:rPr>
      </w:pPr>
    </w:p>
    <w:p>
      <w:pPr>
        <w:spacing w:before="0" w:after="0"/>
        <w:ind w:firstLine="560"/>
        <w:jc w:val="left"/>
        <w:outlineLvl w:val="9"/>
        <w:rPr>
          <w:rFonts w:hint="eastAsia" w:ascii="仿宋" w:hAnsi="仿宋" w:eastAsia="仿宋" w:cs="仿宋"/>
          <w:sz w:val="28"/>
          <w:szCs w:val="28"/>
        </w:rPr>
      </w:pPr>
      <w:bookmarkStart w:id="0" w:name="_Toc29799657"/>
      <w:bookmarkEnd w:id="0"/>
      <w:r>
        <w:rPr>
          <w:rFonts w:hint="eastAsia" w:ascii="仿宋" w:hAnsi="仿宋" w:eastAsia="仿宋" w:cs="仿宋"/>
          <w:b/>
          <w:color w:val="000000"/>
          <w:sz w:val="28"/>
          <w:szCs w:val="28"/>
        </w:rPr>
        <w:t>1</w:t>
      </w:r>
      <w:r>
        <w:rPr>
          <w:rFonts w:hint="eastAsia" w:ascii="仿宋" w:hAnsi="仿宋" w:eastAsia="仿宋" w:cs="仿宋"/>
          <w:b/>
          <w:color w:val="000000"/>
          <w:sz w:val="28"/>
          <w:szCs w:val="28"/>
          <w:lang w:val="en-US" w:eastAsia="zh-CN"/>
        </w:rPr>
        <w:t>.</w:t>
      </w:r>
      <w:r>
        <w:rPr>
          <w:rFonts w:hint="eastAsia" w:ascii="仿宋" w:hAnsi="仿宋" w:eastAsia="仿宋" w:cs="仿宋"/>
          <w:b/>
          <w:color w:val="000000"/>
          <w:sz w:val="28"/>
          <w:szCs w:val="28"/>
        </w:rPr>
        <w:t>培训费绩效目标表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3"/>
            </w:pPr>
            <w:r>
              <w:t>1.通过专项业务培训，及时更新审计人员知识结构。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参加培训人数</w:t>
            </w:r>
          </w:p>
        </w:tc>
        <w:tc>
          <w:tcPr>
            <w:tcW w:w="2835" w:type="dxa"/>
            <w:vAlign w:val="center"/>
          </w:tcPr>
          <w:p>
            <w:pPr>
              <w:pStyle w:val="13"/>
            </w:pPr>
            <w:r>
              <w:t>年度计划培训人数</w:t>
            </w:r>
          </w:p>
        </w:tc>
        <w:tc>
          <w:tcPr>
            <w:tcW w:w="2551" w:type="dxa"/>
            <w:vAlign w:val="center"/>
          </w:tcPr>
          <w:p>
            <w:pPr>
              <w:pStyle w:val="13"/>
            </w:pPr>
            <w:r>
              <w:t>≥35人</w:t>
            </w:r>
          </w:p>
        </w:tc>
        <w:tc>
          <w:tcPr>
            <w:tcW w:w="2268" w:type="dxa"/>
            <w:vAlign w:val="center"/>
          </w:tcPr>
          <w:p>
            <w:pPr>
              <w:pStyle w:val="13"/>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培训合格率</w:t>
            </w:r>
          </w:p>
        </w:tc>
        <w:tc>
          <w:tcPr>
            <w:tcW w:w="2835" w:type="dxa"/>
            <w:vAlign w:val="center"/>
          </w:tcPr>
          <w:p>
            <w:pPr>
              <w:pStyle w:val="13"/>
            </w:pPr>
            <w:r>
              <w:t>合格人员占参训人员的比例</w:t>
            </w:r>
          </w:p>
        </w:tc>
        <w:tc>
          <w:tcPr>
            <w:tcW w:w="2551" w:type="dxa"/>
            <w:vAlign w:val="center"/>
          </w:tcPr>
          <w:p>
            <w:pPr>
              <w:pStyle w:val="13"/>
            </w:pPr>
            <w:r>
              <w:t>100%</w:t>
            </w:r>
          </w:p>
        </w:tc>
        <w:tc>
          <w:tcPr>
            <w:tcW w:w="2268" w:type="dxa"/>
            <w:vAlign w:val="center"/>
          </w:tcPr>
          <w:p>
            <w:pPr>
              <w:pStyle w:val="13"/>
            </w:pPr>
            <w:r>
              <w:t>结业报告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培训时间</w:t>
            </w:r>
          </w:p>
        </w:tc>
        <w:tc>
          <w:tcPr>
            <w:tcW w:w="2835" w:type="dxa"/>
            <w:vAlign w:val="center"/>
          </w:tcPr>
          <w:p>
            <w:pPr>
              <w:pStyle w:val="13"/>
            </w:pPr>
            <w:r>
              <w:t>业务人员参训时间</w:t>
            </w:r>
          </w:p>
        </w:tc>
        <w:tc>
          <w:tcPr>
            <w:tcW w:w="2551" w:type="dxa"/>
            <w:vAlign w:val="center"/>
          </w:tcPr>
          <w:p>
            <w:pPr>
              <w:pStyle w:val="13"/>
            </w:pPr>
            <w:r>
              <w:t>10天</w:t>
            </w:r>
          </w:p>
        </w:tc>
        <w:tc>
          <w:tcPr>
            <w:tcW w:w="2268" w:type="dxa"/>
            <w:vAlign w:val="center"/>
          </w:tcPr>
          <w:p>
            <w:pPr>
              <w:pStyle w:val="13"/>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培训成本</w:t>
            </w:r>
          </w:p>
        </w:tc>
        <w:tc>
          <w:tcPr>
            <w:tcW w:w="2835" w:type="dxa"/>
            <w:vAlign w:val="center"/>
          </w:tcPr>
          <w:p>
            <w:pPr>
              <w:pStyle w:val="13"/>
            </w:pPr>
            <w:r>
              <w:t>年培训费金额</w:t>
            </w:r>
          </w:p>
        </w:tc>
        <w:tc>
          <w:tcPr>
            <w:tcW w:w="2551" w:type="dxa"/>
            <w:vAlign w:val="center"/>
          </w:tcPr>
          <w:p>
            <w:pPr>
              <w:pStyle w:val="13"/>
            </w:pPr>
            <w:r>
              <w:t>≤10万元</w:t>
            </w:r>
          </w:p>
        </w:tc>
        <w:tc>
          <w:tcPr>
            <w:tcW w:w="2268" w:type="dxa"/>
            <w:vAlign w:val="center"/>
          </w:tcPr>
          <w:p>
            <w:pPr>
              <w:pStyle w:val="13"/>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受训学员业务提升情况</w:t>
            </w:r>
          </w:p>
        </w:tc>
        <w:tc>
          <w:tcPr>
            <w:tcW w:w="2835" w:type="dxa"/>
            <w:vAlign w:val="center"/>
          </w:tcPr>
          <w:p>
            <w:pPr>
              <w:pStyle w:val="13"/>
            </w:pPr>
            <w:r>
              <w:t>培训内容对受训学员实际工作上的提升效果</w:t>
            </w:r>
          </w:p>
        </w:tc>
        <w:tc>
          <w:tcPr>
            <w:tcW w:w="2551" w:type="dxa"/>
            <w:vAlign w:val="center"/>
          </w:tcPr>
          <w:p>
            <w:pPr>
              <w:pStyle w:val="13"/>
            </w:pPr>
            <w:r>
              <w:t>有效提升</w:t>
            </w:r>
          </w:p>
        </w:tc>
        <w:tc>
          <w:tcPr>
            <w:tcW w:w="2268"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培训人员满意度</w:t>
            </w:r>
          </w:p>
        </w:tc>
        <w:tc>
          <w:tcPr>
            <w:tcW w:w="2835" w:type="dxa"/>
            <w:vAlign w:val="center"/>
          </w:tcPr>
          <w:p>
            <w:pPr>
              <w:pStyle w:val="13"/>
            </w:pPr>
            <w:r>
              <w:t>培训人员满意度</w:t>
            </w:r>
          </w:p>
        </w:tc>
        <w:tc>
          <w:tcPr>
            <w:tcW w:w="2551" w:type="dxa"/>
            <w:vAlign w:val="center"/>
          </w:tcPr>
          <w:p>
            <w:pPr>
              <w:pStyle w:val="13"/>
            </w:pPr>
            <w:r>
              <w:t>≥98%</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sz w:val="28"/>
          <w:szCs w:val="28"/>
        </w:rPr>
      </w:pPr>
      <w:r>
        <w:rPr>
          <w:rFonts w:hint="eastAsia" w:ascii="仿宋" w:hAnsi="仿宋" w:eastAsia="仿宋" w:cs="仿宋"/>
          <w:b/>
          <w:color w:val="000000"/>
          <w:sz w:val="28"/>
          <w:szCs w:val="28"/>
        </w:rPr>
        <w:t>2</w:t>
      </w:r>
      <w:r>
        <w:rPr>
          <w:rFonts w:hint="eastAsia" w:ascii="仿宋" w:hAnsi="仿宋" w:eastAsia="仿宋" w:cs="仿宋"/>
          <w:b/>
          <w:color w:val="000000"/>
          <w:sz w:val="28"/>
          <w:szCs w:val="28"/>
          <w:lang w:val="en-US" w:eastAsia="zh-CN"/>
        </w:rPr>
        <w:t>.</w:t>
      </w:r>
      <w:r>
        <w:rPr>
          <w:rFonts w:hint="eastAsia" w:ascii="仿宋" w:hAnsi="仿宋" w:eastAsia="仿宋" w:cs="仿宋"/>
          <w:b/>
          <w:color w:val="000000"/>
          <w:sz w:val="28"/>
          <w:szCs w:val="28"/>
        </w:rPr>
        <w:t>一级预算单位财务数据采集费绩效目标表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3"/>
            </w:pPr>
            <w:r>
              <w:t>1.通过运用信息化手段采集数据信息，完成预算单位的审计全覆盖，保障预算单位审计数据提取工作效率得到提升。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完成数据采集数量</w:t>
            </w:r>
          </w:p>
        </w:tc>
        <w:tc>
          <w:tcPr>
            <w:tcW w:w="2835" w:type="dxa"/>
            <w:vAlign w:val="center"/>
          </w:tcPr>
          <w:p>
            <w:pPr>
              <w:pStyle w:val="13"/>
            </w:pPr>
            <w:r>
              <w:t xml:space="preserve"> 年度内应完成数据采集数量</w:t>
            </w:r>
          </w:p>
        </w:tc>
        <w:tc>
          <w:tcPr>
            <w:tcW w:w="2551" w:type="dxa"/>
            <w:vAlign w:val="center"/>
          </w:tcPr>
          <w:p>
            <w:pPr>
              <w:pStyle w:val="13"/>
            </w:pPr>
            <w:r>
              <w:t>63个</w:t>
            </w:r>
          </w:p>
        </w:tc>
        <w:tc>
          <w:tcPr>
            <w:tcW w:w="2268"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审计覆盖率</w:t>
            </w:r>
          </w:p>
        </w:tc>
        <w:tc>
          <w:tcPr>
            <w:tcW w:w="2835" w:type="dxa"/>
            <w:vAlign w:val="center"/>
          </w:tcPr>
          <w:p>
            <w:pPr>
              <w:pStyle w:val="13"/>
            </w:pPr>
            <w:r>
              <w:t>预算单位审计业务覆盖率</w:t>
            </w:r>
          </w:p>
        </w:tc>
        <w:tc>
          <w:tcPr>
            <w:tcW w:w="2551" w:type="dxa"/>
            <w:vAlign w:val="center"/>
          </w:tcPr>
          <w:p>
            <w:pPr>
              <w:pStyle w:val="13"/>
            </w:pPr>
            <w:r>
              <w:t>100%</w:t>
            </w:r>
          </w:p>
        </w:tc>
        <w:tc>
          <w:tcPr>
            <w:tcW w:w="2268"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采集数据合格率</w:t>
            </w:r>
          </w:p>
        </w:tc>
        <w:tc>
          <w:tcPr>
            <w:tcW w:w="2835" w:type="dxa"/>
            <w:vAlign w:val="center"/>
          </w:tcPr>
          <w:p>
            <w:pPr>
              <w:pStyle w:val="13"/>
            </w:pPr>
            <w:r>
              <w:t>采集数据完成合格数量占总数量的比率</w:t>
            </w:r>
          </w:p>
        </w:tc>
        <w:tc>
          <w:tcPr>
            <w:tcW w:w="2551" w:type="dxa"/>
            <w:vAlign w:val="center"/>
          </w:tcPr>
          <w:p>
            <w:pPr>
              <w:pStyle w:val="13"/>
            </w:pPr>
            <w:r>
              <w:t>100%</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数据采集完成时间</w:t>
            </w:r>
          </w:p>
        </w:tc>
        <w:tc>
          <w:tcPr>
            <w:tcW w:w="2835" w:type="dxa"/>
            <w:vAlign w:val="center"/>
          </w:tcPr>
          <w:p>
            <w:pPr>
              <w:pStyle w:val="13"/>
            </w:pPr>
            <w:r>
              <w:t>数据采集完成时间</w:t>
            </w:r>
          </w:p>
        </w:tc>
        <w:tc>
          <w:tcPr>
            <w:tcW w:w="2551" w:type="dxa"/>
            <w:vAlign w:val="center"/>
          </w:tcPr>
          <w:p>
            <w:pPr>
              <w:pStyle w:val="13"/>
            </w:pPr>
            <w:r>
              <w:t>≤12月</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采集数据信息单位成本</w:t>
            </w:r>
          </w:p>
        </w:tc>
        <w:tc>
          <w:tcPr>
            <w:tcW w:w="2835" w:type="dxa"/>
            <w:vAlign w:val="center"/>
          </w:tcPr>
          <w:p>
            <w:pPr>
              <w:pStyle w:val="13"/>
            </w:pPr>
            <w:r>
              <w:t>每个采集数据信息单位成本</w:t>
            </w:r>
          </w:p>
        </w:tc>
        <w:tc>
          <w:tcPr>
            <w:tcW w:w="2551" w:type="dxa"/>
            <w:vAlign w:val="center"/>
          </w:tcPr>
          <w:p>
            <w:pPr>
              <w:pStyle w:val="13"/>
            </w:pPr>
            <w:r>
              <w:t>≤944元</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审计工作效率情况</w:t>
            </w:r>
          </w:p>
        </w:tc>
        <w:tc>
          <w:tcPr>
            <w:tcW w:w="2835" w:type="dxa"/>
            <w:vAlign w:val="center"/>
          </w:tcPr>
          <w:p>
            <w:pPr>
              <w:pStyle w:val="13"/>
            </w:pPr>
            <w:r>
              <w:t>预算单位审计数据提取工作效率显著提升</w:t>
            </w:r>
          </w:p>
        </w:tc>
        <w:tc>
          <w:tcPr>
            <w:tcW w:w="2551" w:type="dxa"/>
            <w:vAlign w:val="center"/>
          </w:tcPr>
          <w:p>
            <w:pPr>
              <w:pStyle w:val="13"/>
            </w:pPr>
            <w:r>
              <w:t>显著提升</w:t>
            </w:r>
          </w:p>
        </w:tc>
        <w:tc>
          <w:tcPr>
            <w:tcW w:w="2268"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被采集数据单位员满意度</w:t>
            </w:r>
          </w:p>
        </w:tc>
        <w:tc>
          <w:tcPr>
            <w:tcW w:w="2835" w:type="dxa"/>
            <w:vAlign w:val="center"/>
          </w:tcPr>
          <w:p>
            <w:pPr>
              <w:pStyle w:val="13"/>
            </w:pPr>
            <w:r>
              <w:t>被采集数据单位员满意度</w:t>
            </w:r>
          </w:p>
        </w:tc>
        <w:tc>
          <w:tcPr>
            <w:tcW w:w="2551" w:type="dxa"/>
            <w:vAlign w:val="center"/>
          </w:tcPr>
          <w:p>
            <w:pPr>
              <w:pStyle w:val="13"/>
            </w:pPr>
            <w:r>
              <w:t>≥95%</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b/>
          <w:color w:val="000000"/>
          <w:sz w:val="28"/>
          <w:szCs w:val="28"/>
        </w:rPr>
      </w:pPr>
      <w:r>
        <w:rPr>
          <w:rFonts w:hint="eastAsia" w:ascii="仿宋" w:hAnsi="仿宋" w:eastAsia="仿宋" w:cs="仿宋"/>
          <w:b/>
          <w:color w:val="000000"/>
          <w:sz w:val="28"/>
          <w:szCs w:val="28"/>
        </w:rPr>
        <w:t>3</w:t>
      </w:r>
      <w:r>
        <w:rPr>
          <w:rFonts w:hint="eastAsia" w:ascii="仿宋" w:hAnsi="仿宋" w:eastAsia="仿宋" w:cs="仿宋"/>
          <w:b/>
          <w:color w:val="000000"/>
          <w:sz w:val="28"/>
          <w:szCs w:val="28"/>
          <w:lang w:val="en-US" w:eastAsia="zh-CN"/>
        </w:rPr>
        <w:t>.</w:t>
      </w:r>
      <w:r>
        <w:rPr>
          <w:rFonts w:hint="eastAsia" w:ascii="仿宋" w:hAnsi="仿宋" w:eastAsia="仿宋" w:cs="仿宋"/>
          <w:b/>
          <w:color w:val="000000"/>
          <w:sz w:val="28"/>
          <w:szCs w:val="28"/>
        </w:rPr>
        <w:t>专项审计业务费绩效目标表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3"/>
            </w:pPr>
            <w:r>
              <w:t>1.通过项目开展，促进领导干部廉洁自律，净化建筑市场，节约政府资金，促进审计报告使用人员满意。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审计项目数量</w:t>
            </w:r>
          </w:p>
        </w:tc>
        <w:tc>
          <w:tcPr>
            <w:tcW w:w="2835" w:type="dxa"/>
            <w:vAlign w:val="center"/>
          </w:tcPr>
          <w:p>
            <w:pPr>
              <w:pStyle w:val="13"/>
            </w:pPr>
            <w:r>
              <w:t>年度计划完成审计项目数量</w:t>
            </w:r>
          </w:p>
        </w:tc>
        <w:tc>
          <w:tcPr>
            <w:tcW w:w="2551" w:type="dxa"/>
            <w:vAlign w:val="center"/>
          </w:tcPr>
          <w:p>
            <w:pPr>
              <w:pStyle w:val="13"/>
            </w:pPr>
            <w:r>
              <w:t>≥6个</w:t>
            </w:r>
          </w:p>
        </w:tc>
        <w:tc>
          <w:tcPr>
            <w:tcW w:w="2268" w:type="dxa"/>
            <w:vAlign w:val="center"/>
          </w:tcPr>
          <w:p>
            <w:pPr>
              <w:pStyle w:val="13"/>
            </w:pPr>
            <w:r>
              <w:t>通知文件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项目完成合格率</w:t>
            </w:r>
          </w:p>
        </w:tc>
        <w:tc>
          <w:tcPr>
            <w:tcW w:w="2835" w:type="dxa"/>
            <w:vAlign w:val="center"/>
          </w:tcPr>
          <w:p>
            <w:pPr>
              <w:pStyle w:val="13"/>
            </w:pPr>
            <w:r>
              <w:t>合格项目数量占项目完成数量的比例</w:t>
            </w:r>
          </w:p>
        </w:tc>
        <w:tc>
          <w:tcPr>
            <w:tcW w:w="2551" w:type="dxa"/>
            <w:vAlign w:val="center"/>
          </w:tcPr>
          <w:p>
            <w:pPr>
              <w:pStyle w:val="13"/>
            </w:pPr>
            <w:r>
              <w:t>≥95%</w:t>
            </w:r>
          </w:p>
        </w:tc>
        <w:tc>
          <w:tcPr>
            <w:tcW w:w="2268"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年度审计任务按时完成率</w:t>
            </w:r>
          </w:p>
        </w:tc>
        <w:tc>
          <w:tcPr>
            <w:tcW w:w="2835" w:type="dxa"/>
            <w:vAlign w:val="center"/>
          </w:tcPr>
          <w:p>
            <w:pPr>
              <w:pStyle w:val="13"/>
            </w:pPr>
            <w:r>
              <w:t>反映是否按时完成审计任务</w:t>
            </w:r>
          </w:p>
        </w:tc>
        <w:tc>
          <w:tcPr>
            <w:tcW w:w="2551" w:type="dxa"/>
            <w:vAlign w:val="center"/>
          </w:tcPr>
          <w:p>
            <w:pPr>
              <w:pStyle w:val="13"/>
            </w:pPr>
            <w:r>
              <w:t>100%</w:t>
            </w:r>
          </w:p>
        </w:tc>
        <w:tc>
          <w:tcPr>
            <w:tcW w:w="2268" w:type="dxa"/>
            <w:vAlign w:val="center"/>
          </w:tcPr>
          <w:p>
            <w:pPr>
              <w:pStyle w:val="13"/>
            </w:pPr>
            <w:r>
              <w:t>审计服务合同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项目平均成本</w:t>
            </w:r>
          </w:p>
        </w:tc>
        <w:tc>
          <w:tcPr>
            <w:tcW w:w="2835" w:type="dxa"/>
            <w:vAlign w:val="center"/>
          </w:tcPr>
          <w:p>
            <w:pPr>
              <w:pStyle w:val="13"/>
            </w:pPr>
            <w:r>
              <w:t>审计项目费用平均成本</w:t>
            </w:r>
          </w:p>
        </w:tc>
        <w:tc>
          <w:tcPr>
            <w:tcW w:w="2551" w:type="dxa"/>
            <w:vAlign w:val="center"/>
          </w:tcPr>
          <w:p>
            <w:pPr>
              <w:pStyle w:val="13"/>
            </w:pPr>
            <w:r>
              <w:t>≤5万元</w:t>
            </w:r>
          </w:p>
        </w:tc>
        <w:tc>
          <w:tcPr>
            <w:tcW w:w="2268" w:type="dxa"/>
            <w:vAlign w:val="center"/>
          </w:tcPr>
          <w:p>
            <w:pPr>
              <w:pStyle w:val="13"/>
            </w:pPr>
            <w:r>
              <w:t>审计服务合同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问题整改落实率</w:t>
            </w:r>
          </w:p>
        </w:tc>
        <w:tc>
          <w:tcPr>
            <w:tcW w:w="2835" w:type="dxa"/>
            <w:vAlign w:val="center"/>
          </w:tcPr>
          <w:p>
            <w:pPr>
              <w:pStyle w:val="13"/>
            </w:pPr>
            <w:r>
              <w:t>反映审计发现问题的整改落实情况</w:t>
            </w:r>
          </w:p>
        </w:tc>
        <w:tc>
          <w:tcPr>
            <w:tcW w:w="2551" w:type="dxa"/>
            <w:vAlign w:val="center"/>
          </w:tcPr>
          <w:p>
            <w:pPr>
              <w:pStyle w:val="13"/>
            </w:pPr>
            <w:r>
              <w:t>≥95%</w:t>
            </w:r>
          </w:p>
        </w:tc>
        <w:tc>
          <w:tcPr>
            <w:tcW w:w="2268"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使用人员满意度</w:t>
            </w:r>
          </w:p>
        </w:tc>
        <w:tc>
          <w:tcPr>
            <w:tcW w:w="2835" w:type="dxa"/>
            <w:vAlign w:val="center"/>
          </w:tcPr>
          <w:p>
            <w:pPr>
              <w:pStyle w:val="13"/>
            </w:pPr>
            <w:r>
              <w:t>使用人员满意度</w:t>
            </w:r>
          </w:p>
        </w:tc>
        <w:tc>
          <w:tcPr>
            <w:tcW w:w="2551" w:type="dxa"/>
            <w:vAlign w:val="center"/>
          </w:tcPr>
          <w:p>
            <w:pPr>
              <w:pStyle w:val="13"/>
            </w:pPr>
            <w:r>
              <w:t>≥95%</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b/>
          <w:color w:val="000000"/>
          <w:sz w:val="28"/>
          <w:szCs w:val="28"/>
        </w:rPr>
      </w:pPr>
      <w:r>
        <w:rPr>
          <w:rFonts w:hint="eastAsia" w:ascii="仿宋" w:hAnsi="仿宋" w:eastAsia="仿宋" w:cs="仿宋"/>
          <w:b/>
          <w:color w:val="000000"/>
          <w:sz w:val="28"/>
          <w:szCs w:val="28"/>
        </w:rPr>
        <w:t>4</w:t>
      </w:r>
      <w:r>
        <w:rPr>
          <w:rFonts w:hint="eastAsia" w:ascii="仿宋" w:hAnsi="仿宋" w:eastAsia="仿宋" w:cs="仿宋"/>
          <w:b/>
          <w:color w:val="000000"/>
          <w:sz w:val="28"/>
          <w:szCs w:val="28"/>
          <w:lang w:val="en-US" w:eastAsia="zh-CN"/>
        </w:rPr>
        <w:t>.</w:t>
      </w:r>
      <w:r>
        <w:rPr>
          <w:rFonts w:hint="eastAsia" w:ascii="仿宋" w:hAnsi="仿宋" w:eastAsia="仿宋" w:cs="仿宋"/>
          <w:b/>
          <w:color w:val="000000"/>
          <w:sz w:val="28"/>
          <w:szCs w:val="28"/>
        </w:rPr>
        <w:t>审计局档案室建设项目绩效目标表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3"/>
            </w:pPr>
            <w:r>
              <w:t>1.通过对档案室进行改造升级，可以不断提高档案管理效率，提升档案管理服务，创新档案管理机制。通过项目开展，帮助单位档案管理工作朝着规范化、标准化、信息化方向发展。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整体工程量</w:t>
            </w:r>
          </w:p>
        </w:tc>
        <w:tc>
          <w:tcPr>
            <w:tcW w:w="2835" w:type="dxa"/>
            <w:vAlign w:val="center"/>
          </w:tcPr>
          <w:p>
            <w:pPr>
              <w:pStyle w:val="13"/>
            </w:pPr>
            <w:r>
              <w:t>建设的平米数</w:t>
            </w:r>
          </w:p>
        </w:tc>
        <w:tc>
          <w:tcPr>
            <w:tcW w:w="2551" w:type="dxa"/>
            <w:vAlign w:val="center"/>
          </w:tcPr>
          <w:p>
            <w:pPr>
              <w:pStyle w:val="13"/>
            </w:pPr>
            <w:r>
              <w:t>≥25平米</w:t>
            </w:r>
          </w:p>
        </w:tc>
        <w:tc>
          <w:tcPr>
            <w:tcW w:w="2268" w:type="dxa"/>
            <w:vAlign w:val="center"/>
          </w:tcPr>
          <w:p>
            <w:pPr>
              <w:pStyle w:val="13"/>
            </w:pPr>
            <w:r>
              <w:t>年度工作计划</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工程验收合格率</w:t>
            </w:r>
          </w:p>
        </w:tc>
        <w:tc>
          <w:tcPr>
            <w:tcW w:w="2835" w:type="dxa"/>
            <w:vAlign w:val="center"/>
          </w:tcPr>
          <w:p>
            <w:pPr>
              <w:pStyle w:val="13"/>
            </w:pPr>
            <w:r>
              <w:t>通过验收的工程量占修缮总量的比率</w:t>
            </w:r>
          </w:p>
        </w:tc>
        <w:tc>
          <w:tcPr>
            <w:tcW w:w="2551" w:type="dxa"/>
            <w:vAlign w:val="center"/>
          </w:tcPr>
          <w:p>
            <w:pPr>
              <w:pStyle w:val="13"/>
            </w:pPr>
            <w:r>
              <w:t>100%</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工程按期完成率</w:t>
            </w:r>
          </w:p>
        </w:tc>
        <w:tc>
          <w:tcPr>
            <w:tcW w:w="2835" w:type="dxa"/>
            <w:vAlign w:val="center"/>
          </w:tcPr>
          <w:p>
            <w:pPr>
              <w:pStyle w:val="13"/>
            </w:pPr>
            <w:r>
              <w:t>按期完成的工程量占总工程量的比率</w:t>
            </w:r>
          </w:p>
        </w:tc>
        <w:tc>
          <w:tcPr>
            <w:tcW w:w="2551" w:type="dxa"/>
            <w:vAlign w:val="center"/>
          </w:tcPr>
          <w:p>
            <w:pPr>
              <w:pStyle w:val="13"/>
            </w:pPr>
            <w:r>
              <w:t>100%</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工程单位建设成本控制数</w:t>
            </w:r>
          </w:p>
        </w:tc>
        <w:tc>
          <w:tcPr>
            <w:tcW w:w="2835" w:type="dxa"/>
            <w:vAlign w:val="center"/>
          </w:tcPr>
          <w:p>
            <w:pPr>
              <w:pStyle w:val="13"/>
            </w:pPr>
            <w:r>
              <w:t>建设单位成本控制数</w:t>
            </w:r>
          </w:p>
        </w:tc>
        <w:tc>
          <w:tcPr>
            <w:tcW w:w="2551" w:type="dxa"/>
            <w:vAlign w:val="center"/>
          </w:tcPr>
          <w:p>
            <w:pPr>
              <w:pStyle w:val="13"/>
            </w:pPr>
            <w:r>
              <w:t>≤16.67万元</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使用效果</w:t>
            </w:r>
          </w:p>
        </w:tc>
        <w:tc>
          <w:tcPr>
            <w:tcW w:w="2835" w:type="dxa"/>
            <w:vAlign w:val="center"/>
          </w:tcPr>
          <w:p>
            <w:pPr>
              <w:pStyle w:val="13"/>
            </w:pPr>
            <w:r>
              <w:t>进一步提高档案管理的规范化和标准化。</w:t>
            </w:r>
          </w:p>
        </w:tc>
        <w:tc>
          <w:tcPr>
            <w:tcW w:w="2551" w:type="dxa"/>
            <w:vAlign w:val="center"/>
          </w:tcPr>
          <w:p>
            <w:pPr>
              <w:pStyle w:val="13"/>
            </w:pPr>
            <w:r>
              <w:t>效果显著</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提高档案管理效率</w:t>
            </w:r>
          </w:p>
        </w:tc>
        <w:tc>
          <w:tcPr>
            <w:tcW w:w="2835" w:type="dxa"/>
            <w:vAlign w:val="center"/>
          </w:tcPr>
          <w:p>
            <w:pPr>
              <w:pStyle w:val="13"/>
            </w:pPr>
            <w:r>
              <w:t>进一步提高档案管理的规范化和标准化。</w:t>
            </w:r>
          </w:p>
        </w:tc>
        <w:tc>
          <w:tcPr>
            <w:tcW w:w="2551" w:type="dxa"/>
            <w:vAlign w:val="center"/>
          </w:tcPr>
          <w:p>
            <w:pPr>
              <w:pStyle w:val="13"/>
            </w:pPr>
            <w:r>
              <w:t>效果显著</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使用人员满意度</w:t>
            </w:r>
          </w:p>
        </w:tc>
        <w:tc>
          <w:tcPr>
            <w:tcW w:w="2835" w:type="dxa"/>
            <w:vAlign w:val="center"/>
          </w:tcPr>
          <w:p>
            <w:pPr>
              <w:pStyle w:val="13"/>
            </w:pPr>
            <w:r>
              <w:t>调查使用人员满意人数的满意度</w:t>
            </w:r>
          </w:p>
        </w:tc>
        <w:tc>
          <w:tcPr>
            <w:tcW w:w="2551" w:type="dxa"/>
            <w:vAlign w:val="center"/>
          </w:tcPr>
          <w:p>
            <w:pPr>
              <w:pStyle w:val="13"/>
            </w:pPr>
            <w:r>
              <w:t>≥95%</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b/>
          <w:color w:val="000000"/>
          <w:sz w:val="28"/>
          <w:szCs w:val="28"/>
        </w:rPr>
      </w:pPr>
      <w:r>
        <w:rPr>
          <w:rFonts w:hint="eastAsia" w:ascii="仿宋" w:hAnsi="仿宋" w:eastAsia="仿宋" w:cs="仿宋"/>
          <w:b/>
          <w:color w:val="000000"/>
          <w:sz w:val="28"/>
          <w:szCs w:val="28"/>
        </w:rPr>
        <w:t>5</w:t>
      </w:r>
      <w:r>
        <w:rPr>
          <w:rFonts w:hint="eastAsia" w:ascii="仿宋" w:hAnsi="仿宋" w:eastAsia="仿宋" w:cs="仿宋"/>
          <w:b/>
          <w:color w:val="000000"/>
          <w:sz w:val="28"/>
          <w:szCs w:val="28"/>
          <w:lang w:val="en-US" w:eastAsia="zh-CN"/>
        </w:rPr>
        <w:t>.</w:t>
      </w:r>
      <w:r>
        <w:rPr>
          <w:rFonts w:hint="eastAsia" w:ascii="仿宋" w:hAnsi="仿宋" w:eastAsia="仿宋" w:cs="仿宋"/>
          <w:b/>
          <w:color w:val="000000"/>
          <w:sz w:val="28"/>
          <w:szCs w:val="28"/>
        </w:rPr>
        <w:t>审计局一楼大厅及四楼会议室改造工程项目绩效目标表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3"/>
            </w:pPr>
            <w:r>
              <w:t>1.通过对办公楼四楼会议室及大厅进行改造，更好的服务于本单位的工作开展。加快构建与上级的高清化联动、畅通高效、保障有力的视频会议通信体系。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整体工程量</w:t>
            </w:r>
          </w:p>
        </w:tc>
        <w:tc>
          <w:tcPr>
            <w:tcW w:w="2835" w:type="dxa"/>
            <w:vAlign w:val="center"/>
          </w:tcPr>
          <w:p>
            <w:pPr>
              <w:pStyle w:val="13"/>
            </w:pPr>
            <w:r>
              <w:t>改造工程</w:t>
            </w:r>
          </w:p>
        </w:tc>
        <w:tc>
          <w:tcPr>
            <w:tcW w:w="2551" w:type="dxa"/>
            <w:vAlign w:val="center"/>
          </w:tcPr>
          <w:p>
            <w:pPr>
              <w:pStyle w:val="13"/>
            </w:pPr>
            <w:r>
              <w:t>2个</w:t>
            </w:r>
          </w:p>
        </w:tc>
        <w:tc>
          <w:tcPr>
            <w:tcW w:w="2268" w:type="dxa"/>
            <w:vAlign w:val="center"/>
          </w:tcPr>
          <w:p>
            <w:pPr>
              <w:pStyle w:val="13"/>
            </w:pPr>
            <w:r>
              <w:t>年度工作计划</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工程验收合格率</w:t>
            </w:r>
          </w:p>
        </w:tc>
        <w:tc>
          <w:tcPr>
            <w:tcW w:w="2835" w:type="dxa"/>
            <w:vAlign w:val="center"/>
          </w:tcPr>
          <w:p>
            <w:pPr>
              <w:pStyle w:val="13"/>
            </w:pPr>
            <w:r>
              <w:t>通过验收的工程量占修缮总量的比率</w:t>
            </w:r>
          </w:p>
        </w:tc>
        <w:tc>
          <w:tcPr>
            <w:tcW w:w="2551" w:type="dxa"/>
            <w:vAlign w:val="center"/>
          </w:tcPr>
          <w:p>
            <w:pPr>
              <w:pStyle w:val="13"/>
            </w:pPr>
            <w:r>
              <w:t>100%</w:t>
            </w:r>
          </w:p>
        </w:tc>
        <w:tc>
          <w:tcPr>
            <w:tcW w:w="2268" w:type="dxa"/>
            <w:vAlign w:val="center"/>
          </w:tcPr>
          <w:p>
            <w:pPr>
              <w:pStyle w:val="13"/>
            </w:pPr>
            <w:r>
              <w:t>年度工作计划</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工程按期完成率</w:t>
            </w:r>
          </w:p>
        </w:tc>
        <w:tc>
          <w:tcPr>
            <w:tcW w:w="2835" w:type="dxa"/>
            <w:vAlign w:val="center"/>
          </w:tcPr>
          <w:p>
            <w:pPr>
              <w:pStyle w:val="13"/>
            </w:pPr>
            <w:r>
              <w:t>按期完成的工程量占总工程量的比率</w:t>
            </w:r>
          </w:p>
        </w:tc>
        <w:tc>
          <w:tcPr>
            <w:tcW w:w="2551" w:type="dxa"/>
            <w:vAlign w:val="center"/>
          </w:tcPr>
          <w:p>
            <w:pPr>
              <w:pStyle w:val="13"/>
            </w:pPr>
            <w:r>
              <w:t>100%</w:t>
            </w:r>
          </w:p>
        </w:tc>
        <w:tc>
          <w:tcPr>
            <w:tcW w:w="2268" w:type="dxa"/>
            <w:vAlign w:val="center"/>
          </w:tcPr>
          <w:p>
            <w:pPr>
              <w:pStyle w:val="13"/>
            </w:pPr>
            <w:r>
              <w:t>年度工作计划</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工程单位建设成本控制数</w:t>
            </w:r>
          </w:p>
        </w:tc>
        <w:tc>
          <w:tcPr>
            <w:tcW w:w="2835" w:type="dxa"/>
            <w:vAlign w:val="center"/>
          </w:tcPr>
          <w:p>
            <w:pPr>
              <w:pStyle w:val="13"/>
            </w:pPr>
            <w:r>
              <w:t>支付改造费用的总成本是否控制在预算金额范围内。</w:t>
            </w:r>
          </w:p>
        </w:tc>
        <w:tc>
          <w:tcPr>
            <w:tcW w:w="2551" w:type="dxa"/>
            <w:vAlign w:val="center"/>
          </w:tcPr>
          <w:p>
            <w:pPr>
              <w:pStyle w:val="13"/>
            </w:pPr>
            <w:r>
              <w:t>≤10万元</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设施正常运转率</w:t>
            </w:r>
          </w:p>
        </w:tc>
        <w:tc>
          <w:tcPr>
            <w:tcW w:w="2835" w:type="dxa"/>
            <w:vAlign w:val="center"/>
          </w:tcPr>
          <w:p>
            <w:pPr>
              <w:pStyle w:val="13"/>
            </w:pPr>
            <w:r>
              <w:t>设施正常运转率</w:t>
            </w:r>
          </w:p>
        </w:tc>
        <w:tc>
          <w:tcPr>
            <w:tcW w:w="2551" w:type="dxa"/>
            <w:vAlign w:val="center"/>
          </w:tcPr>
          <w:p>
            <w:pPr>
              <w:pStyle w:val="13"/>
            </w:pPr>
            <w:r>
              <w:t>100%</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使用效果</w:t>
            </w:r>
          </w:p>
        </w:tc>
        <w:tc>
          <w:tcPr>
            <w:tcW w:w="2835" w:type="dxa"/>
            <w:vAlign w:val="center"/>
          </w:tcPr>
          <w:p>
            <w:pPr>
              <w:pStyle w:val="13"/>
            </w:pPr>
            <w:r>
              <w:t>加快构建与上级的高清化联动、畅通高效、保障有力的视频会议通信体系。</w:t>
            </w:r>
          </w:p>
        </w:tc>
        <w:tc>
          <w:tcPr>
            <w:tcW w:w="2551" w:type="dxa"/>
            <w:vAlign w:val="center"/>
          </w:tcPr>
          <w:p>
            <w:pPr>
              <w:pStyle w:val="13"/>
            </w:pPr>
            <w:r>
              <w:t>效果显著</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使用人员满意度</w:t>
            </w:r>
          </w:p>
        </w:tc>
        <w:tc>
          <w:tcPr>
            <w:tcW w:w="2835" w:type="dxa"/>
            <w:vAlign w:val="center"/>
          </w:tcPr>
          <w:p>
            <w:pPr>
              <w:pStyle w:val="13"/>
            </w:pPr>
            <w:r>
              <w:t>使用人员满意人数</w:t>
            </w:r>
          </w:p>
        </w:tc>
        <w:tc>
          <w:tcPr>
            <w:tcW w:w="2551" w:type="dxa"/>
            <w:vAlign w:val="center"/>
          </w:tcPr>
          <w:p>
            <w:pPr>
              <w:pStyle w:val="13"/>
            </w:pPr>
            <w:r>
              <w:t>≥95%</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b/>
          <w:color w:val="000000"/>
          <w:sz w:val="28"/>
          <w:szCs w:val="28"/>
        </w:rPr>
      </w:pPr>
      <w:r>
        <w:rPr>
          <w:rFonts w:hint="eastAsia" w:ascii="仿宋" w:hAnsi="仿宋" w:eastAsia="仿宋" w:cs="仿宋"/>
          <w:b/>
          <w:color w:val="000000"/>
          <w:sz w:val="28"/>
          <w:szCs w:val="28"/>
        </w:rPr>
        <w:t>6</w:t>
      </w:r>
      <w:r>
        <w:rPr>
          <w:rFonts w:hint="eastAsia" w:ascii="仿宋" w:hAnsi="仿宋" w:eastAsia="仿宋" w:cs="仿宋"/>
          <w:b/>
          <w:color w:val="000000"/>
          <w:sz w:val="28"/>
          <w:szCs w:val="28"/>
          <w:lang w:val="en-US" w:eastAsia="zh-CN"/>
        </w:rPr>
        <w:t>.</w:t>
      </w:r>
      <w:r>
        <w:rPr>
          <w:rFonts w:hint="eastAsia" w:ascii="仿宋" w:hAnsi="仿宋" w:eastAsia="仿宋" w:cs="仿宋"/>
          <w:b/>
          <w:color w:val="000000"/>
          <w:sz w:val="28"/>
          <w:szCs w:val="28"/>
        </w:rPr>
        <w:t>项目审计费绩效目标表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3"/>
            </w:pPr>
            <w:r>
              <w:t>1.节约政府投资，促进科学决策和廉政建设。充分发挥政府投资项目的社会效益和经济效益。通过对政府投资项目进行审计，规范政府投资项目管理。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审计项目数量</w:t>
            </w:r>
          </w:p>
        </w:tc>
        <w:tc>
          <w:tcPr>
            <w:tcW w:w="2835" w:type="dxa"/>
            <w:vAlign w:val="center"/>
          </w:tcPr>
          <w:p>
            <w:pPr>
              <w:pStyle w:val="13"/>
            </w:pPr>
            <w:r>
              <w:t>年度内计划审计项目数量</w:t>
            </w:r>
          </w:p>
        </w:tc>
        <w:tc>
          <w:tcPr>
            <w:tcW w:w="2551" w:type="dxa"/>
            <w:vAlign w:val="center"/>
          </w:tcPr>
          <w:p>
            <w:pPr>
              <w:pStyle w:val="13"/>
            </w:pPr>
            <w:r>
              <w:t>30个</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问题回查率</w:t>
            </w:r>
          </w:p>
        </w:tc>
        <w:tc>
          <w:tcPr>
            <w:tcW w:w="2835" w:type="dxa"/>
            <w:vAlign w:val="center"/>
          </w:tcPr>
          <w:p>
            <w:pPr>
              <w:pStyle w:val="13"/>
            </w:pPr>
            <w:r>
              <w:t>问题回查数量占发现问题数量之比</w:t>
            </w:r>
          </w:p>
        </w:tc>
        <w:tc>
          <w:tcPr>
            <w:tcW w:w="2551" w:type="dxa"/>
            <w:vAlign w:val="center"/>
          </w:tcPr>
          <w:p>
            <w:pPr>
              <w:pStyle w:val="13"/>
            </w:pPr>
            <w:r>
              <w:t>≤5%</w:t>
            </w:r>
          </w:p>
        </w:tc>
        <w:tc>
          <w:tcPr>
            <w:tcW w:w="2268"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年度审计任务按时完成率</w:t>
            </w:r>
          </w:p>
        </w:tc>
        <w:tc>
          <w:tcPr>
            <w:tcW w:w="2835" w:type="dxa"/>
            <w:vAlign w:val="center"/>
          </w:tcPr>
          <w:p>
            <w:pPr>
              <w:pStyle w:val="13"/>
            </w:pPr>
            <w:r>
              <w:t>反映是否按时完成审计任务</w:t>
            </w:r>
          </w:p>
        </w:tc>
        <w:tc>
          <w:tcPr>
            <w:tcW w:w="2551" w:type="dxa"/>
            <w:vAlign w:val="center"/>
          </w:tcPr>
          <w:p>
            <w:pPr>
              <w:pStyle w:val="13"/>
            </w:pPr>
            <w:r>
              <w:t>100%</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审计项目单位成本</w:t>
            </w:r>
          </w:p>
        </w:tc>
        <w:tc>
          <w:tcPr>
            <w:tcW w:w="2835" w:type="dxa"/>
            <w:vAlign w:val="center"/>
          </w:tcPr>
          <w:p>
            <w:pPr>
              <w:pStyle w:val="13"/>
            </w:pPr>
            <w:r>
              <w:t>当年审计完成项目的单位成本</w:t>
            </w:r>
          </w:p>
        </w:tc>
        <w:tc>
          <w:tcPr>
            <w:tcW w:w="2551" w:type="dxa"/>
            <w:vAlign w:val="center"/>
          </w:tcPr>
          <w:p>
            <w:pPr>
              <w:pStyle w:val="13"/>
            </w:pPr>
            <w:r>
              <w:t>100万元</w:t>
            </w:r>
          </w:p>
        </w:tc>
        <w:tc>
          <w:tcPr>
            <w:tcW w:w="2268" w:type="dxa"/>
            <w:vAlign w:val="center"/>
          </w:tcPr>
          <w:p>
            <w:pPr>
              <w:pStyle w:val="13"/>
            </w:pPr>
            <w:r>
              <w:t>项目清单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审计建议采纳率</w:t>
            </w:r>
          </w:p>
        </w:tc>
        <w:tc>
          <w:tcPr>
            <w:tcW w:w="2835" w:type="dxa"/>
            <w:vAlign w:val="center"/>
          </w:tcPr>
          <w:p>
            <w:pPr>
              <w:pStyle w:val="13"/>
            </w:pPr>
            <w:r>
              <w:t>被采纳的审计建议占全部审计建议的比率</w:t>
            </w:r>
          </w:p>
        </w:tc>
        <w:tc>
          <w:tcPr>
            <w:tcW w:w="2551" w:type="dxa"/>
            <w:vAlign w:val="center"/>
          </w:tcPr>
          <w:p>
            <w:pPr>
              <w:pStyle w:val="13"/>
            </w:pPr>
            <w:r>
              <w:t>≥90%</w:t>
            </w:r>
          </w:p>
        </w:tc>
        <w:tc>
          <w:tcPr>
            <w:tcW w:w="2268" w:type="dxa"/>
            <w:vAlign w:val="center"/>
          </w:tcPr>
          <w:p>
            <w:pPr>
              <w:pStyle w:val="13"/>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审计单位和被审计单位效果满意度</w:t>
            </w:r>
          </w:p>
        </w:tc>
        <w:tc>
          <w:tcPr>
            <w:tcW w:w="2835" w:type="dxa"/>
            <w:vAlign w:val="center"/>
          </w:tcPr>
          <w:p>
            <w:pPr>
              <w:pStyle w:val="13"/>
            </w:pPr>
            <w:r>
              <w:t>大厂回族自治县审计局和被审计单位对中介机构审计行为及效果的满意度</w:t>
            </w:r>
          </w:p>
        </w:tc>
        <w:tc>
          <w:tcPr>
            <w:tcW w:w="2551" w:type="dxa"/>
            <w:vAlign w:val="center"/>
          </w:tcPr>
          <w:p>
            <w:pPr>
              <w:pStyle w:val="13"/>
            </w:pPr>
            <w:r>
              <w:t>≥95%</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ascii="仿宋" w:hAnsi="仿宋" w:eastAsia="仿宋" w:cs="Times New Roman"/>
          <w:sz w:val="32"/>
          <w:szCs w:val="32"/>
        </w:rPr>
      </w:pPr>
      <w:bookmarkStart w:id="1" w:name="_Toc471398468"/>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年，我部门安排政府采购预算</w:t>
      </w:r>
      <w:r>
        <w:rPr>
          <w:rFonts w:hint="eastAsia" w:ascii="仿宋" w:hAnsi="仿宋" w:eastAsia="仿宋" w:cs="Times New Roman"/>
          <w:sz w:val="32"/>
          <w:szCs w:val="32"/>
          <w:lang w:val="en-US" w:eastAsia="zh-CN"/>
        </w:rPr>
        <w:t>100</w:t>
      </w:r>
      <w:r>
        <w:rPr>
          <w:rFonts w:ascii="仿宋" w:hAnsi="仿宋" w:eastAsia="仿宋" w:cs="Times New Roman"/>
          <w:sz w:val="32"/>
          <w:szCs w:val="32"/>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val="en-US" w:eastAsia="zh-CN"/>
              </w:rPr>
            </w:pPr>
            <w:r>
              <w:rPr>
                <w:rFonts w:hint="eastAsia" w:ascii="方正小标宋_GBK" w:eastAsia="方正小标宋_GBK"/>
                <w:sz w:val="24"/>
                <w:lang w:val="en-US" w:eastAsia="zh-CN"/>
              </w:rPr>
              <w:t>319</w:t>
            </w:r>
            <w:r>
              <w:rPr>
                <w:rFonts w:hint="eastAsia" w:ascii="方正小标宋_GBK" w:eastAsia="方正小标宋_GBK" w:cs="Times New Roman"/>
                <w:sz w:val="24"/>
              </w:rPr>
              <w:t>大厂回族自治县</w:t>
            </w:r>
            <w:r>
              <w:rPr>
                <w:rFonts w:hint="eastAsia" w:ascii="方正小标宋_GBK" w:eastAsia="方正小标宋_GBK" w:cs="Times New Roman"/>
                <w:sz w:val="24"/>
                <w:lang w:val="en-US" w:eastAsia="zh-CN"/>
              </w:rPr>
              <w:t>审计局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100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项目审计费</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100</w:t>
            </w:r>
          </w:p>
        </w:tc>
        <w:tc>
          <w:tcPr>
            <w:tcW w:w="1531" w:type="dxa"/>
            <w:shd w:val="clear" w:color="auto" w:fill="auto"/>
            <w:vAlign w:val="center"/>
          </w:tcPr>
          <w:p>
            <w:pPr>
              <w:spacing w:line="300" w:lineRule="exact"/>
              <w:jc w:val="left"/>
              <w:rPr>
                <w:rFonts w:hint="eastAsia" w:ascii="方正书宋_GBK" w:eastAsia="方正书宋_GBK" w:cs="Times New Roman"/>
                <w:b/>
                <w:lang w:val="en-US" w:eastAsia="zh-CN"/>
              </w:rPr>
            </w:pPr>
            <w:r>
              <w:rPr>
                <w:rFonts w:hint="eastAsia" w:ascii="方正书宋_GBK" w:eastAsia="方正书宋_GBK" w:cs="Times New Roman"/>
                <w:b/>
                <w:lang w:val="en-US" w:eastAsia="zh-CN"/>
              </w:rPr>
              <w:t>审计服务</w:t>
            </w:r>
          </w:p>
        </w:tc>
        <w:tc>
          <w:tcPr>
            <w:tcW w:w="1531" w:type="dxa"/>
            <w:shd w:val="clear" w:color="auto" w:fill="auto"/>
            <w:vAlign w:val="center"/>
          </w:tcPr>
          <w:p>
            <w:pPr>
              <w:spacing w:line="300" w:lineRule="exact"/>
              <w:jc w:val="left"/>
              <w:rPr>
                <w:rFonts w:hint="default" w:ascii="方正书宋_GBK" w:eastAsia="方正书宋_GBK" w:cs="Times New Roman"/>
                <w:b/>
                <w:lang w:val="en-US" w:eastAsia="zh-CN"/>
              </w:rPr>
            </w:pPr>
            <w:r>
              <w:rPr>
                <w:rFonts w:hint="eastAsia" w:ascii="方正书宋_GBK" w:eastAsia="方正书宋_GBK" w:cs="Times New Roman"/>
                <w:b/>
                <w:lang w:val="en-US" w:eastAsia="zh-CN"/>
              </w:rPr>
              <w:t>C0803</w:t>
            </w:r>
          </w:p>
        </w:tc>
        <w:tc>
          <w:tcPr>
            <w:tcW w:w="709"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项</w:t>
            </w:r>
          </w:p>
        </w:tc>
        <w:tc>
          <w:tcPr>
            <w:tcW w:w="907" w:type="dxa"/>
            <w:shd w:val="clear" w:color="auto" w:fill="auto"/>
            <w:vAlign w:val="center"/>
          </w:tcPr>
          <w:p>
            <w:pPr>
              <w:spacing w:line="300" w:lineRule="exact"/>
              <w:jc w:val="right"/>
              <w:rPr>
                <w:rFonts w:hint="eastAsia" w:ascii="方正书宋_GBK" w:eastAsia="方正书宋_GBK" w:cs="Times New Roman"/>
                <w:b/>
                <w:lang w:val="en-US" w:eastAsia="zh-CN"/>
              </w:rPr>
            </w:pPr>
            <w:r>
              <w:rPr>
                <w:rFonts w:hint="eastAsia" w:ascii="方正书宋_GBK" w:eastAsia="方正书宋_GBK" w:cs="Times New Roman"/>
                <w:b/>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100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100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100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rPr>
        <w:t>注:同一采购目录序号的物品,其单价会因配置规格不同而变动,均符合配置标准.涉密采购事项按照相关规定执行.</w:t>
      </w:r>
    </w:p>
    <w:p>
      <w:pPr>
        <w:autoSpaceDE w:val="0"/>
        <w:autoSpaceDN w:val="0"/>
        <w:adjustRightInd w:val="0"/>
        <w:spacing w:line="584" w:lineRule="exact"/>
        <w:ind w:firstLine="640" w:firstLineChars="200"/>
        <w:jc w:val="left"/>
        <w:rPr>
          <w:rFonts w:ascii="Times New Roman" w:hAnsi="Times New Roman" w:eastAsia="黑体" w:cs="Times New Roman"/>
          <w:sz w:val="32"/>
          <w:szCs w:val="32"/>
          <w:highlight w:val="magenta"/>
        </w:rPr>
      </w:pPr>
      <w:r>
        <w:rPr>
          <w:rFonts w:ascii="Times New Roman" w:hAnsi="Times New Roman" w:eastAsia="黑体" w:cs="Times New Roman"/>
          <w:sz w:val="32"/>
          <w:szCs w:val="32"/>
        </w:rPr>
        <w:t>七、</w:t>
      </w:r>
      <w:r>
        <w:rPr>
          <w:rFonts w:ascii="Times New Roman" w:hAnsi="Times New Roman" w:eastAsia="黑体" w:cs="Times New Roman"/>
          <w:sz w:val="32"/>
          <w:szCs w:val="32"/>
          <w:highlight w:val="none"/>
        </w:rPr>
        <w:t>国有资产信息</w:t>
      </w:r>
    </w:p>
    <w:p>
      <w:pPr>
        <w:keepNext w:val="0"/>
        <w:keepLines w:val="0"/>
        <w:pageBreakBefore w:val="0"/>
        <w:widowControl w:val="0"/>
        <w:kinsoku/>
        <w:wordWrap/>
        <w:overflowPunct/>
        <w:topLinePunct w:val="0"/>
        <w:autoSpaceDE w:val="0"/>
        <w:autoSpaceDN w:val="0"/>
        <w:bidi w:val="0"/>
        <w:adjustRightInd w:val="0"/>
        <w:snapToGrid/>
        <w:spacing w:line="584" w:lineRule="exact"/>
        <w:ind w:left="197" w:leftChars="94"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审计局</w:t>
      </w:r>
      <w:r>
        <w:rPr>
          <w:rFonts w:ascii="仿宋" w:hAnsi="仿宋" w:eastAsia="仿宋" w:cs="Times New Roman"/>
          <w:sz w:val="32"/>
          <w:szCs w:val="32"/>
        </w:rPr>
        <w:t>上年末固定资产金额为</w:t>
      </w:r>
      <w:r>
        <w:rPr>
          <w:rFonts w:hint="eastAsia" w:ascii="仿宋" w:hAnsi="仿宋" w:eastAsia="仿宋" w:cs="Times New Roman"/>
          <w:sz w:val="32"/>
          <w:szCs w:val="32"/>
          <w:lang w:val="en-US" w:eastAsia="zh-CN"/>
        </w:rPr>
        <w:t>245.26</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r>
        <w:rPr>
          <w:rFonts w:ascii="仿宋" w:hAnsi="仿宋" w:eastAsia="仿宋"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r>
              <w:rPr>
                <w:rFonts w:hint="eastAsia" w:ascii="Times New Roman" w:hAnsi="Times New Roman" w:eastAsia="仿宋_GB2312" w:cs="Times New Roman"/>
                <w:kern w:val="0"/>
                <w:sz w:val="22"/>
                <w:lang w:val="en-US" w:eastAsia="zh-CN"/>
              </w:rPr>
              <w:t>审计局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245.26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33.36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191.11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ascii="仿宋" w:hAnsi="仿宋" w:eastAsia="仿宋"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val="en-US" w:eastAsia="zh-CN"/>
        </w:rPr>
        <w:t>县</w:t>
      </w:r>
      <w:bookmarkStart w:id="3" w:name="_GoBack"/>
      <w:bookmarkEnd w:id="3"/>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29BCA"/>
    <w:multiLevelType w:val="singleLevel"/>
    <w:tmpl w:val="3BA29BCA"/>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050DD"/>
    <w:rsid w:val="000261B2"/>
    <w:rsid w:val="000D16EE"/>
    <w:rsid w:val="001F687F"/>
    <w:rsid w:val="00262092"/>
    <w:rsid w:val="003073D9"/>
    <w:rsid w:val="003909CD"/>
    <w:rsid w:val="00391E11"/>
    <w:rsid w:val="003F44D0"/>
    <w:rsid w:val="003F732C"/>
    <w:rsid w:val="00406D17"/>
    <w:rsid w:val="00457F81"/>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D3546"/>
    <w:rsid w:val="00EE07AC"/>
    <w:rsid w:val="04781A0B"/>
    <w:rsid w:val="06835451"/>
    <w:rsid w:val="098A46BA"/>
    <w:rsid w:val="0A0A1149"/>
    <w:rsid w:val="0C796C68"/>
    <w:rsid w:val="0E176739"/>
    <w:rsid w:val="14261483"/>
    <w:rsid w:val="14452CA2"/>
    <w:rsid w:val="18D832E3"/>
    <w:rsid w:val="1D741406"/>
    <w:rsid w:val="1E030D88"/>
    <w:rsid w:val="1E9F175D"/>
    <w:rsid w:val="1EFC62AD"/>
    <w:rsid w:val="26092F2B"/>
    <w:rsid w:val="265E2CFF"/>
    <w:rsid w:val="26FE2BF9"/>
    <w:rsid w:val="2822655B"/>
    <w:rsid w:val="2E507989"/>
    <w:rsid w:val="30BB2AFC"/>
    <w:rsid w:val="32582CF8"/>
    <w:rsid w:val="35C56AAB"/>
    <w:rsid w:val="39385DFD"/>
    <w:rsid w:val="3A2F2590"/>
    <w:rsid w:val="3AE71D69"/>
    <w:rsid w:val="3D8B21D4"/>
    <w:rsid w:val="3F0C40F9"/>
    <w:rsid w:val="43234C5C"/>
    <w:rsid w:val="43A93D04"/>
    <w:rsid w:val="44B347F5"/>
    <w:rsid w:val="489439C9"/>
    <w:rsid w:val="4BE56CD6"/>
    <w:rsid w:val="4EF4576E"/>
    <w:rsid w:val="513D41D6"/>
    <w:rsid w:val="544F0467"/>
    <w:rsid w:val="57D34E40"/>
    <w:rsid w:val="580E0BF1"/>
    <w:rsid w:val="58254B7B"/>
    <w:rsid w:val="609F196E"/>
    <w:rsid w:val="629643AB"/>
    <w:rsid w:val="63A60CE6"/>
    <w:rsid w:val="64BE1A4B"/>
    <w:rsid w:val="6609210B"/>
    <w:rsid w:val="67837983"/>
    <w:rsid w:val="680918ED"/>
    <w:rsid w:val="6FBA7291"/>
    <w:rsid w:val="70705982"/>
    <w:rsid w:val="71D935A5"/>
    <w:rsid w:val="75153B55"/>
    <w:rsid w:val="79D52F39"/>
    <w:rsid w:val="7EAE4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504</Words>
  <Characters>2873</Characters>
  <Lines>23</Lines>
  <Paragraphs>6</Paragraphs>
  <TotalTime>8</TotalTime>
  <ScaleCrop>false</ScaleCrop>
  <LinksUpToDate>false</LinksUpToDate>
  <CharactersWithSpaces>3371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SJ</cp:lastModifiedBy>
  <cp:lastPrinted>2018-01-30T06:12:00Z</cp:lastPrinted>
  <dcterms:modified xsi:type="dcterms:W3CDTF">2022-07-11T02:14:41Z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63120F1513294D5C945B6321B5814C33</vt:lpwstr>
  </property>
</Properties>
</file>